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CDS-001 — Codex Development Standard</w:t>
      </w:r>
    </w:p>
    <w:p>
      <w:pPr>
        <w:jc w:val="center"/>
      </w:pPr>
      <w:r>
        <w:t>Version 1.3</w:t>
        <w:br/>
        <w:t>Status: FROZEN</w:t>
        <w:br/>
        <w:t>Release Type: Consolidation Release</w:t>
        <w:br/>
        <w:t>Supersedes: CDS-001 v1.2 and the CDS-001 Authorized Artifacts Amendment</w:t>
      </w:r>
    </w:p>
    <w:p>
      <w:pPr>
        <w:pStyle w:val="Heading1"/>
      </w:pPr>
      <w:r>
        <w:t>1. Purpose</w:t>
      </w:r>
    </w:p>
    <w:p>
      <w:r>
        <w:t>CDS-001 defines the constitutional engineering standard for all implementation work in CTEC. It establishes the responsibility boundary between architecture, business capability specifications, implementation work orders, and software. Version 1.3 consolidates the complete authorized-artifacts rule into this single authoritative standard.</w:t>
      </w:r>
    </w:p>
    <w:p>
      <w:pPr>
        <w:pStyle w:val="Heading1"/>
      </w:pPr>
      <w:r>
        <w:t>2. Authoritative Hierarchy</w:t>
      </w:r>
    </w:p>
    <w:p>
      <w:pPr>
        <w:pStyle w:val="ListNumber"/>
      </w:pPr>
      <w:r>
        <w:t>EAH-001 — ECOM Architecture Handbook</w:t>
      </w:r>
    </w:p>
    <w:p>
      <w:pPr>
        <w:pStyle w:val="ListNumber"/>
      </w:pPr>
      <w:r>
        <w:t>RFCs — Architecture decisions and cross-capability boundaries</w:t>
      </w:r>
    </w:p>
    <w:p>
      <w:pPr>
        <w:pStyle w:val="ListNumber"/>
      </w:pPr>
      <w:r>
        <w:t>Canonical Enterprise Ontology (CEO)</w:t>
      </w:r>
    </w:p>
    <w:p>
      <w:pPr>
        <w:pStyle w:val="ListNumber"/>
      </w:pPr>
      <w:r>
        <w:t>Business Capability Specification (BCS)</w:t>
      </w:r>
    </w:p>
    <w:p>
      <w:pPr>
        <w:pStyle w:val="ListNumber"/>
      </w:pPr>
      <w:r>
        <w:t>CDD — Codex Development Document</w:t>
      </w:r>
    </w:p>
    <w:p>
      <w:pPr>
        <w:pStyle w:val="ListNumber"/>
      </w:pPr>
      <w:r>
        <w:t>Implementation code</w:t>
      </w:r>
    </w:p>
    <w:p>
      <w:r>
        <w:t>The Architecture Registry identifies the current version and status of every authority. Personal downloads, attachments, superseded releases, unmerged branches, migration copies, and legacy documentation paths are not architecture authorities.</w:t>
      </w:r>
    </w:p>
    <w:p>
      <w:pPr>
        <w:pStyle w:val="Heading1"/>
        <w:pageBreakBefore/>
      </w:pPr>
      <w:r>
        <w:t>3. Ownership Model</w:t>
      </w:r>
    </w:p>
    <w:tbl>
      <w:tblPr>
        <w:tblStyle w:val="TableGrid"/>
        <w:tblW w:type="auto" w:w="0"/>
        <w:tblLayout w:type="fixed"/>
        <w:tblLook w:firstColumn="1" w:firstRow="1" w:lastColumn="0" w:lastRow="0" w:noHBand="0" w:noVBand="1" w:val="04A0"/>
      </w:tblPr>
      <w:tblGrid>
        <w:gridCol w:w="4320"/>
        <w:gridCol w:w="4320"/>
      </w:tblGrid>
      <w:tr>
        <w:trPr>
          <w:tblHeader w:val="true"/>
        </w:trPr>
        <w:tc>
          <w:tcPr>
            <w:tcW w:type="dxa" w:w="4320"/>
            <w:vAlign w:val="center"/>
          </w:tcPr>
          <w:p>
            <w:r>
              <w:t>Layer</w:t>
            </w:r>
          </w:p>
        </w:tc>
        <w:tc>
          <w:tcPr>
            <w:tcW w:type="dxa" w:w="4320"/>
            <w:vAlign w:val="center"/>
          </w:tcPr>
          <w:p>
            <w:r>
              <w:t>Owns</w:t>
            </w:r>
          </w:p>
        </w:tc>
      </w:tr>
      <w:tr>
        <w:tc>
          <w:tcPr>
            <w:tcW w:type="dxa" w:w="4320"/>
            <w:vAlign w:val="center"/>
          </w:tcPr>
          <w:p>
            <w:r>
              <w:t>EAH</w:t>
            </w:r>
          </w:p>
        </w:tc>
        <w:tc>
          <w:tcPr>
            <w:tcW w:type="dxa" w:w="4320"/>
            <w:vAlign w:val="center"/>
          </w:tcPr>
          <w:p>
            <w:r>
              <w:t>Overall architecture</w:t>
            </w:r>
          </w:p>
        </w:tc>
      </w:tr>
      <w:tr>
        <w:tc>
          <w:tcPr>
            <w:tcW w:type="dxa" w:w="4320"/>
            <w:vAlign w:val="center"/>
          </w:tcPr>
          <w:p>
            <w:r>
              <w:t>RFC</w:t>
            </w:r>
          </w:p>
        </w:tc>
        <w:tc>
          <w:tcPr>
            <w:tcW w:type="dxa" w:w="4320"/>
            <w:vAlign w:val="center"/>
          </w:tcPr>
          <w:p>
            <w:r>
              <w:t>Architectural decisions and cross-capability boundaries</w:t>
            </w:r>
          </w:p>
        </w:tc>
      </w:tr>
      <w:tr>
        <w:tc>
          <w:tcPr>
            <w:tcW w:type="dxa" w:w="4320"/>
            <w:vAlign w:val="center"/>
          </w:tcPr>
          <w:p>
            <w:r>
              <w:t>CEO</w:t>
            </w:r>
          </w:p>
        </w:tc>
        <w:tc>
          <w:tcPr>
            <w:tcW w:type="dxa" w:w="4320"/>
            <w:vAlign w:val="center"/>
          </w:tcPr>
          <w:p>
            <w:r>
              <w:t>Canonical business entities, relationships, and attributes</w:t>
            </w:r>
          </w:p>
        </w:tc>
      </w:tr>
      <w:tr>
        <w:tc>
          <w:tcPr>
            <w:tcW w:type="dxa" w:w="4320"/>
            <w:vAlign w:val="center"/>
          </w:tcPr>
          <w:p>
            <w:r>
              <w:t>BCS</w:t>
            </w:r>
          </w:p>
        </w:tc>
        <w:tc>
          <w:tcPr>
            <w:tcW w:type="dxa" w:w="4320"/>
            <w:vAlign w:val="center"/>
          </w:tcPr>
          <w:p>
            <w:r>
              <w:t>Business vocabulary, semantics, principles, artifacts, lifecycle, rules, and capability boundaries</w:t>
            </w:r>
          </w:p>
        </w:tc>
      </w:tr>
      <w:tr>
        <w:tc>
          <w:tcPr>
            <w:tcW w:type="dxa" w:w="4320"/>
            <w:vAlign w:val="center"/>
          </w:tcPr>
          <w:p>
            <w:r>
              <w:t>CDD</w:t>
            </w:r>
          </w:p>
        </w:tc>
        <w:tc>
          <w:tcPr>
            <w:tcW w:type="dxa" w:w="4320"/>
            <w:vAlign w:val="center"/>
          </w:tcPr>
          <w:p>
            <w:r>
              <w:t>Implementation scope, engineering constraints, authorized external contracts, tests, deliverables, and architecture validation</w:t>
            </w:r>
          </w:p>
        </w:tc>
      </w:tr>
      <w:tr>
        <w:tc>
          <w:tcPr>
            <w:tcW w:type="dxa" w:w="4320"/>
            <w:vAlign w:val="center"/>
          </w:tcPr>
          <w:p>
            <w:r>
              <w:t>Code</w:t>
            </w:r>
          </w:p>
        </w:tc>
        <w:tc>
          <w:tcPr>
            <w:tcW w:type="dxa" w:w="4320"/>
            <w:vAlign w:val="center"/>
          </w:tcPr>
          <w:p>
            <w:r>
              <w:t>Runtime implementation</w:t>
            </w:r>
          </w:p>
        </w:tc>
      </w:tr>
    </w:tbl>
    <w:p>
      <w:pPr>
        <w:pStyle w:val="Heading1"/>
      </w:pPr>
      <w:r>
        <w:t>4. Business Capability Specification</w:t>
      </w:r>
    </w:p>
    <w:p>
      <w:r>
        <w:t>Each cognitive capability SHALL have an approved BCS before implementation begins. A BCS is the sole authority for business semantics within its assigned capability. Higher-order architecture and RFCs continue to govern cross-capability dependencies and boundaries.</w:t>
      </w:r>
    </w:p>
    <w:p>
      <w:r>
        <w:t>A CDD SHALL reference the current BCS version selected by the Architecture Registry and SHALL NOT duplicate or redefine its business content.</w:t>
      </w:r>
    </w:p>
    <w:p>
      <w:pPr>
        <w:pStyle w:val="Heading1"/>
      </w:pPr>
      <w:r>
        <w:t>5. CDD Responsibilities</w:t>
      </w:r>
    </w:p>
    <w:p>
      <w:pPr>
        <w:pStyle w:val="Heading2"/>
      </w:pPr>
      <w:r>
        <w:t>CDD SHALL</w:t>
      </w:r>
    </w:p>
    <w:p>
      <w:pPr>
        <w:pStyle w:val="ListBullet"/>
      </w:pPr>
      <w:r>
        <w:t>Reference the authoritative architecture and assigned BCS.</w:t>
      </w:r>
    </w:p>
    <w:p>
      <w:pPr>
        <w:pStyle w:val="ListBullet"/>
      </w:pPr>
      <w:r>
        <w:t>Define implementation scope and exclusions.</w:t>
      </w:r>
    </w:p>
    <w:p>
      <w:pPr>
        <w:pStyle w:val="ListBullet"/>
      </w:pPr>
      <w:r>
        <w:t>Declare the applicable authorization form from Section 6.</w:t>
      </w:r>
    </w:p>
    <w:p>
      <w:pPr>
        <w:pStyle w:val="ListBullet"/>
      </w:pPr>
      <w:r>
        <w:t>Define engineering constraints, validation, tests, and deliverables.</w:t>
      </w:r>
    </w:p>
    <w:p>
      <w:pPr>
        <w:pStyle w:val="ListBullet"/>
      </w:pPr>
      <w:r>
        <w:t>Perform architecture-drift validation before completion.</w:t>
      </w:r>
    </w:p>
    <w:p>
      <w:pPr>
        <w:pStyle w:val="Heading2"/>
      </w:pPr>
      <w:r>
        <w:t>CDD SHALL NOT</w:t>
      </w:r>
    </w:p>
    <w:p>
      <w:pPr>
        <w:pStyle w:val="ListBullet"/>
      </w:pPr>
      <w:r>
        <w:t>Redefine business vocabulary, artifacts, principles, lifecycle, outcomes, or rules.</w:t>
      </w:r>
    </w:p>
    <w:p>
      <w:pPr>
        <w:pStyle w:val="ListBullet"/>
      </w:pPr>
      <w:r>
        <w:t>Modify the CEO, Logical Model, Physical Model, or EAD-001 without explicit architecture authority.</w:t>
      </w:r>
    </w:p>
    <w:p>
      <w:pPr>
        <w:pStyle w:val="ListBullet"/>
      </w:pPr>
      <w:r>
        <w:t>Duplicate BCS content.</w:t>
      </w:r>
    </w:p>
    <w:p>
      <w:pPr>
        <w:pStyle w:val="ListBullet"/>
      </w:pPr>
      <w:r>
        <w:t>Infer authorization from examples, datasets, tests, folder structures, or adjacent capabilities.</w:t>
      </w:r>
    </w:p>
    <w:p>
      <w:pPr>
        <w:pStyle w:val="Heading1"/>
      </w:pPr>
      <w:r>
        <w:t>6. Mandatory Authorization Forms</w:t>
      </w:r>
    </w:p>
    <w:p>
      <w:r>
        <w:t>Every CDD SHALL retain exactly one of the following authorization forms and remove the inapplicable form.</w:t>
      </w:r>
    </w:p>
    <w:p>
      <w:pPr>
        <w:pStyle w:val="Heading2"/>
      </w:pPr>
      <w:r>
        <w:t>6.1 CDD without an approved BCS</w:t>
      </w:r>
    </w:p>
    <w:tbl>
      <w:tblPr>
        <w:tblStyle w:val="TableGrid"/>
        <w:tblW w:type="auto" w:w="0"/>
        <w:tblLayout w:type="fixed"/>
        <w:tblLook w:firstColumn="1" w:firstRow="1" w:lastColumn="0" w:lastRow="0" w:noHBand="0" w:noVBand="1" w:val="04A0"/>
      </w:tblPr>
      <w:tblGrid>
        <w:gridCol w:w="4320"/>
        <w:gridCol w:w="4320"/>
      </w:tblGrid>
      <w:tr>
        <w:trPr>
          <w:tblHeader w:val="true"/>
        </w:trPr>
        <w:tc>
          <w:tcPr>
            <w:tcW w:type="dxa" w:w="4320"/>
            <w:vAlign w:val="center"/>
          </w:tcPr>
          <w:p>
            <w:r>
              <w:t>AUTHORIZED ARTIFACTS</w:t>
            </w:r>
          </w:p>
        </w:tc>
        <w:tc>
          <w:tcPr>
            <w:tcW w:type="dxa" w:w="4320"/>
            <w:vAlign w:val="center"/>
          </w:tcPr>
          <w:p>
            <w:r>
              <w:t>Exhaustive authorization</w:t>
            </w:r>
          </w:p>
        </w:tc>
      </w:tr>
      <w:tr>
        <w:tc>
          <w:tcPr>
            <w:tcW w:type="dxa" w:w="4320"/>
            <w:vAlign w:val="center"/>
          </w:tcPr>
          <w:p>
            <w:r>
              <w:t>Entities</w:t>
            </w:r>
          </w:p>
        </w:tc>
        <w:tc>
          <w:tcPr>
            <w:tcW w:type="dxa" w:w="4320"/>
            <w:vAlign w:val="center"/>
          </w:tcPr>
          <w:p>
            <w:r>
              <w:t>List each authorized entity, or None</w:t>
            </w:r>
          </w:p>
        </w:tc>
      </w:tr>
      <w:tr>
        <w:tc>
          <w:tcPr>
            <w:tcW w:type="dxa" w:w="4320"/>
            <w:vAlign w:val="center"/>
          </w:tcPr>
          <w:p>
            <w:r>
              <w:t>Services</w:t>
            </w:r>
          </w:p>
        </w:tc>
        <w:tc>
          <w:tcPr>
            <w:tcW w:type="dxa" w:w="4320"/>
            <w:vAlign w:val="center"/>
          </w:tcPr>
          <w:p>
            <w:r>
              <w:t>List each authorized business service, or None</w:t>
            </w:r>
          </w:p>
        </w:tc>
      </w:tr>
      <w:tr>
        <w:tc>
          <w:tcPr>
            <w:tcW w:type="dxa" w:w="4320"/>
            <w:vAlign w:val="center"/>
          </w:tcPr>
          <w:p>
            <w:r>
              <w:t>Value Objects</w:t>
            </w:r>
          </w:p>
        </w:tc>
        <w:tc>
          <w:tcPr>
            <w:tcW w:type="dxa" w:w="4320"/>
            <w:vAlign w:val="center"/>
          </w:tcPr>
          <w:p>
            <w:r>
              <w:t>List each authorized value object, or None</w:t>
            </w:r>
          </w:p>
        </w:tc>
      </w:tr>
      <w:tr>
        <w:tc>
          <w:tcPr>
            <w:tcW w:type="dxa" w:w="4320"/>
            <w:vAlign w:val="center"/>
          </w:tcPr>
          <w:p>
            <w:r>
              <w:t>Enums</w:t>
            </w:r>
          </w:p>
        </w:tc>
        <w:tc>
          <w:tcPr>
            <w:tcW w:type="dxa" w:w="4320"/>
            <w:vAlign w:val="center"/>
          </w:tcPr>
          <w:p>
            <w:r>
              <w:t>List each authorized enum, or None</w:t>
            </w:r>
          </w:p>
        </w:tc>
      </w:tr>
    </w:tbl>
    <w:p>
      <w:r>
        <w:t>Each list is exhaustive for business artifacts created, modified, or exposed by the capability. Empty categories SHALL state None.</w:t>
      </w:r>
    </w:p>
    <w:p>
      <w:pPr>
        <w:pStyle w:val="Heading2"/>
      </w:pPr>
      <w:r>
        <w:t>6.2 CDD implementing an approved BCS</w:t>
      </w:r>
    </w:p>
    <w:tbl>
      <w:tblPr>
        <w:tblStyle w:val="TableGrid"/>
        <w:tblW w:type="auto" w:w="0"/>
        <w:tblLayout w:type="fixed"/>
        <w:tblLook w:firstColumn="1" w:firstRow="1" w:lastColumn="0" w:lastRow="0" w:noHBand="0" w:noVBand="1" w:val="04A0"/>
      </w:tblPr>
      <w:tblGrid>
        <w:gridCol w:w="4320"/>
        <w:gridCol w:w="4320"/>
      </w:tblGrid>
      <w:tr>
        <w:trPr>
          <w:tblHeader w:val="true"/>
        </w:trPr>
        <w:tc>
          <w:tcPr>
            <w:tcW w:type="dxa" w:w="4320"/>
            <w:vAlign w:val="center"/>
          </w:tcPr>
          <w:p>
            <w:r>
              <w:t>AUTHORIZED BUSINESS CAPABILITY</w:t>
            </w:r>
          </w:p>
        </w:tc>
        <w:tc>
          <w:tcPr>
            <w:tcW w:type="dxa" w:w="4320"/>
            <w:vAlign w:val="center"/>
          </w:tcPr>
          <w:p>
            <w:r>
              <w:t>Required declaration</w:t>
            </w:r>
          </w:p>
        </w:tc>
      </w:tr>
      <w:tr>
        <w:tc>
          <w:tcPr>
            <w:tcW w:type="dxa" w:w="4320"/>
            <w:vAlign w:val="center"/>
          </w:tcPr>
          <w:p>
            <w:r>
              <w:t>Business Capability Specification</w:t>
            </w:r>
          </w:p>
        </w:tc>
        <w:tc>
          <w:tcPr>
            <w:tcW w:type="dxa" w:w="4320"/>
            <w:vAlign w:val="center"/>
          </w:tcPr>
          <w:p>
            <w:r>
              <w:t>Authoritative document identifier and current version</w:t>
            </w:r>
          </w:p>
        </w:tc>
      </w:tr>
      <w:tr>
        <w:tc>
          <w:tcPr>
            <w:tcW w:type="dxa" w:w="4320"/>
            <w:vAlign w:val="center"/>
          </w:tcPr>
          <w:p>
            <w:r>
              <w:t>Business Artifacts</w:t>
            </w:r>
          </w:p>
        </w:tc>
        <w:tc>
          <w:tcPr>
            <w:tcW w:type="dxa" w:w="4320"/>
            <w:vAlign w:val="center"/>
          </w:tcPr>
          <w:p>
            <w:r>
              <w:t>Incorporated by reference from the BCS</w:t>
            </w:r>
          </w:p>
        </w:tc>
      </w:tr>
      <w:tr>
        <w:tc>
          <w:tcPr>
            <w:tcW w:type="dxa" w:w="4320"/>
            <w:vAlign w:val="center"/>
          </w:tcPr>
          <w:p>
            <w:r>
              <w:t>Externally Visible Implementation Contracts</w:t>
            </w:r>
          </w:p>
        </w:tc>
        <w:tc>
          <w:tcPr>
            <w:tcW w:type="dxa" w:w="4320"/>
            <w:vAlign w:val="center"/>
          </w:tcPr>
          <w:p>
            <w:r>
              <w:t>Exhaustive list, or None</w:t>
            </w:r>
          </w:p>
        </w:tc>
      </w:tr>
      <w:tr>
        <w:tc>
          <w:tcPr>
            <w:tcW w:type="dxa" w:w="4320"/>
            <w:vAlign w:val="center"/>
          </w:tcPr>
          <w:p>
            <w:r>
              <w:t>Canonical Model Changes</w:t>
            </w:r>
          </w:p>
        </w:tc>
        <w:tc>
          <w:tcPr>
            <w:tcW w:type="dxa" w:w="4320"/>
            <w:vAlign w:val="center"/>
          </w:tcPr>
          <w:p>
            <w:r>
              <w:t>None, unless separately authorized by architecture governance</w:t>
            </w:r>
          </w:p>
        </w:tc>
      </w:tr>
    </w:tbl>
    <w:p>
      <w:r>
        <w:t>The CDD SHALL NOT redefine incorporated artifact names, meanings, attributes, relationships, lifecycle rules, or outcomes.</w:t>
      </w:r>
    </w:p>
    <w:p>
      <w:pPr>
        <w:pStyle w:val="Heading1"/>
      </w:pPr>
      <w:r>
        <w:t>7. Authorization Rule</w:t>
      </w:r>
    </w:p>
    <w:p>
      <w:r>
        <w:t>Only business artifacts named in AUTHORIZED ARTIFACTS or incorporated through an explicit reference to the assigned BCS may be implemented. All other business artifacts are prohibited.</w:t>
      </w:r>
    </w:p>
    <w:p>
      <w:r>
        <w:t>Private implementation artifacts remain engineering responsibilities and do not require architectural authorization. Examples include internal classes, modules, functions, adapters, mappers, repositories, configuration loaders, algorithms, test fixtures, and private request or response models.</w:t>
      </w:r>
    </w:p>
    <w:p>
      <w:pPr>
        <w:pStyle w:val="Heading1"/>
      </w:pPr>
      <w:r>
        <w:t>8. Artifacts Requiring Explicit Authorization</w:t>
      </w:r>
    </w:p>
    <w:p>
      <w:r>
        <w:t>An implementation artifact requires explicit architectural authorization when it:</w:t>
      </w:r>
    </w:p>
    <w:p>
      <w:pPr>
        <w:pStyle w:val="ListBullet"/>
      </w:pPr>
      <w:r>
        <w:t>Becomes part of a public API, event, file, database, protocol, or other externally visible contract.</w:t>
      </w:r>
    </w:p>
    <w:p>
      <w:pPr>
        <w:pStyle w:val="ListBullet"/>
      </w:pPr>
      <w:r>
        <w:t>Introduces or changes canonical or business meaning.</w:t>
      </w:r>
    </w:p>
    <w:p>
      <w:pPr>
        <w:pStyle w:val="ListBullet"/>
      </w:pPr>
      <w:r>
        <w:t>Introduces or changes a business entity, attribute, relationship, service, value object, enum, outcome, lifecycle, or rule.</w:t>
      </w:r>
    </w:p>
    <w:p>
      <w:pPr>
        <w:pStyle w:val="ListBullet"/>
      </w:pPr>
      <w:r>
        <w:t>Modifies an authoritative artifact or governed model.</w:t>
      </w:r>
    </w:p>
    <w:p>
      <w:pPr>
        <w:pStyle w:val="ListBullet"/>
      </w:pPr>
      <w:r>
        <w:t>Crosses or bypasses an approved architecture boundary.</w:t>
      </w:r>
    </w:p>
    <w:p>
      <w:pPr>
        <w:pStyle w:val="Heading1"/>
      </w:pPr>
      <w:r>
        <w:t>9. Engineering Authority</w:t>
      </w:r>
    </w:p>
    <w:p>
      <w:r>
        <w:t>Engineering owns private implementation decisions provided they remain within the CDD, preserve business semantics, and do not become unauthorized external contracts.</w:t>
      </w:r>
    </w:p>
    <w:p>
      <w:pPr>
        <w:pStyle w:val="ListBullet"/>
      </w:pPr>
      <w:r>
        <w:t>Project and module structure</w:t>
      </w:r>
    </w:p>
    <w:p>
      <w:pPr>
        <w:pStyle w:val="ListBullet"/>
      </w:pPr>
      <w:r>
        <w:t>Private classes and interfaces</w:t>
      </w:r>
    </w:p>
    <w:p>
      <w:pPr>
        <w:pStyle w:val="ListBullet"/>
      </w:pPr>
      <w:r>
        <w:t>Repository implementations</w:t>
      </w:r>
    </w:p>
    <w:p>
      <w:pPr>
        <w:pStyle w:val="ListBullet"/>
      </w:pPr>
      <w:r>
        <w:t>Private services and internal models</w:t>
      </w:r>
    </w:p>
    <w:p>
      <w:pPr>
        <w:pStyle w:val="ListBullet"/>
      </w:pPr>
      <w:r>
        <w:t>Algorithms and mappers</w:t>
      </w:r>
    </w:p>
    <w:p>
      <w:pPr>
        <w:pStyle w:val="ListBullet"/>
      </w:pPr>
      <w:r>
        <w:t>Persistence implementation</w:t>
      </w:r>
    </w:p>
    <w:p>
      <w:pPr>
        <w:pStyle w:val="ListBullet"/>
      </w:pPr>
      <w:r>
        <w:t>Configuration implementation</w:t>
      </w:r>
    </w:p>
    <w:p>
      <w:pPr>
        <w:pStyle w:val="ListBullet"/>
      </w:pPr>
      <w:r>
        <w:t>Logging, caching, and dependency injection</w:t>
      </w:r>
    </w:p>
    <w:p>
      <w:pPr>
        <w:pStyle w:val="ListBullet"/>
      </w:pPr>
      <w:r>
        <w:t>Performance optimization</w:t>
      </w:r>
    </w:p>
    <w:p>
      <w:pPr>
        <w:pStyle w:val="ListBullet"/>
      </w:pPr>
      <w:r>
        <w:t>Private DTOs and validation models</w:t>
      </w:r>
    </w:p>
    <w:p>
      <w:pPr>
        <w:pStyle w:val="ListBullet"/>
      </w:pPr>
      <w:r>
        <w:t>Test structure and fixtures</w:t>
      </w:r>
    </w:p>
    <w:p>
      <w:pPr>
        <w:pStyle w:val="Heading1"/>
      </w:pPr>
      <w:r>
        <w:t>10. Persistence, Configuration, and Tests</w:t>
      </w:r>
    </w:p>
    <w:p>
      <w:r>
        <w:t>Engineering may implement persistence, configuration, and tests required by the authorized capability. These artifacts SHALL trace to their governing models, SHALL NOT redefine business semantics, and SHALL NOT treat migration scripts or generated artifacts as architecture authorities.</w:t>
      </w:r>
    </w:p>
    <w:p>
      <w:pPr>
        <w:pStyle w:val="Heading1"/>
      </w:pPr>
      <w:r>
        <w:t>11. What Does Not Constitute Authorization</w:t>
      </w:r>
    </w:p>
    <w:p>
      <w:pPr>
        <w:pStyle w:val="ListBullet"/>
      </w:pPr>
      <w:r>
        <w:t>Examples or illustrative scenarios</w:t>
      </w:r>
    </w:p>
    <w:p>
      <w:pPr>
        <w:pStyle w:val="ListBullet"/>
      </w:pPr>
      <w:r>
        <w:t>Where-appropriate or open-ended language</w:t>
      </w:r>
    </w:p>
    <w:p>
      <w:pPr>
        <w:pStyle w:val="ListBullet"/>
      </w:pPr>
      <w:r>
        <w:t>Datasets or CSV structures</w:t>
      </w:r>
    </w:p>
    <w:p>
      <w:pPr>
        <w:pStyle w:val="ListBullet"/>
      </w:pPr>
      <w:r>
        <w:t>Instructions to infer artifacts from EAD, a canonical model, or implementation convenience</w:t>
      </w:r>
    </w:p>
    <w:p>
      <w:pPr>
        <w:pStyle w:val="ListBullet"/>
      </w:pPr>
      <w:r>
        <w:t>Folder structures containing absent artifacts</w:t>
      </w:r>
    </w:p>
    <w:p>
      <w:pPr>
        <w:pStyle w:val="ListBullet"/>
      </w:pPr>
      <w:r>
        <w:t>Artifacts mentioned only in tests, documentation, or future-extension sections</w:t>
      </w:r>
    </w:p>
    <w:p>
      <w:pPr>
        <w:pStyle w:val="Heading1"/>
      </w:pPr>
      <w:r>
        <w:t>12. Conflict and Stop Rule</w:t>
      </w:r>
    </w:p>
    <w:p>
      <w:r>
        <w:t>If a requested output, example, test, or instruction requires an unauthorized business artifact, external contract, canonical semantic change, or architecture-boundary change, implementation SHALL STOP. Every conflict SHALL be reported; no artifact may be silently omitted, inferred, renamed, or substituted.</w:t>
      </w:r>
    </w:p>
    <w:p>
      <w:r>
        <w:t>If the required authority, authorization form, or BCS is missing, incomplete, superseded, or ambiguous, implementation SHALL STOP and request correction. The absence of an exhaustive list of private implementation details is not an ambiguity.</w:t>
      </w:r>
    </w:p>
    <w:p>
      <w:pPr>
        <w:pStyle w:val="Heading1"/>
      </w:pPr>
      <w:r>
        <w:t>13. Architecture Drift Validation</w:t>
      </w:r>
    </w:p>
    <w:p>
      <w:pPr>
        <w:pStyle w:val="ListBullet"/>
      </w:pPr>
      <w:r>
        <w:t>No Constitution or EAH violation</w:t>
      </w:r>
    </w:p>
    <w:p>
      <w:pPr>
        <w:pStyle w:val="ListBullet"/>
      </w:pPr>
      <w:r>
        <w:t>No RFC violation</w:t>
      </w:r>
    </w:p>
    <w:p>
      <w:pPr>
        <w:pStyle w:val="ListBullet"/>
      </w:pPr>
      <w:r>
        <w:t>No CEO modification</w:t>
      </w:r>
    </w:p>
    <w:p>
      <w:pPr>
        <w:pStyle w:val="ListBullet"/>
      </w:pPr>
      <w:r>
        <w:t>No Logical or Physical Model modification</w:t>
      </w:r>
    </w:p>
    <w:p>
      <w:pPr>
        <w:pStyle w:val="ListBullet"/>
      </w:pPr>
      <w:r>
        <w:t>No EAD-001 modification</w:t>
      </w:r>
    </w:p>
    <w:p>
      <w:pPr>
        <w:pStyle w:val="ListBullet"/>
      </w:pPr>
      <w:r>
        <w:t>No BCS modification</w:t>
      </w:r>
    </w:p>
    <w:p>
      <w:pPr>
        <w:pStyle w:val="ListBullet"/>
      </w:pPr>
      <w:r>
        <w:t>No unauthorized business concept or external contract</w:t>
      </w:r>
    </w:p>
    <w:p>
      <w:pPr>
        <w:pStyle w:val="ListBullet"/>
      </w:pPr>
      <w:r>
        <w:t>No architecture layer bypass</w:t>
      </w:r>
    </w:p>
    <w:p>
      <w:pPr>
        <w:pStyle w:val="ListBullet"/>
      </w:pPr>
      <w:r>
        <w:t>No technology outside TAS-001</w:t>
      </w:r>
    </w:p>
    <w:p>
      <w:pPr>
        <w:pStyle w:val="Heading1"/>
      </w:pPr>
      <w:r>
        <w:t>14. Review Requirement</w:t>
      </w:r>
    </w:p>
    <w:p>
      <w:pPr>
        <w:pStyle w:val="ListBullet"/>
      </w:pPr>
      <w:r>
        <w:t>Every implemented business artifact appears in the CDD allowlist or assigned BCS.</w:t>
      </w:r>
    </w:p>
    <w:p>
      <w:pPr>
        <w:pStyle w:val="ListBullet"/>
      </w:pPr>
      <w:r>
        <w:t>Every authorized business artifact is implemented or explicitly reported as blocked.</w:t>
      </w:r>
    </w:p>
    <w:p>
      <w:pPr>
        <w:pStyle w:val="ListBullet"/>
      </w:pPr>
      <w:r>
        <w:t>No business artifact is inferred from examples, datasets, or adjacent layers.</w:t>
      </w:r>
    </w:p>
    <w:p>
      <w:pPr>
        <w:pStyle w:val="ListBullet"/>
      </w:pPr>
      <w:r>
        <w:t>Private artifacts remain internal and do not alter canonical semantics.</w:t>
      </w:r>
    </w:p>
    <w:p>
      <w:pPr>
        <w:pStyle w:val="ListBullet"/>
      </w:pPr>
      <w:r>
        <w:t>Every externally visible contract has explicit authorization.</w:t>
      </w:r>
    </w:p>
    <w:p>
      <w:pPr>
        <w:pStyle w:val="ListBullet"/>
      </w:pPr>
      <w:r>
        <w:t>Architecture-drift validation is completed before freeze, merge, or release.</w:t>
      </w:r>
    </w:p>
    <w:p>
      <w:pPr>
        <w:pStyle w:val="Heading1"/>
      </w:pPr>
      <w:r>
        <w:t>15. Guiding Principle</w:t>
      </w:r>
    </w:p>
    <w:p>
      <w:r>
        <w:t>Architecture defines "WHAT the enterprise means."</w:t>
      </w:r>
    </w:p>
    <w:p>
      <w:r>
        <w:t>Engineering defines "HOW the software works."</w:t>
      </w:r>
    </w:p>
    <w:p>
      <w:pPr>
        <w:pStyle w:val="Heading1"/>
      </w:pPr>
      <w:r>
        <w:t>16. Applicability</w:t>
      </w:r>
    </w:p>
    <w:p>
      <w:r>
        <w:t>This standard applies to every new CDD and to any earlier CDD reopened or revised after CDS-001 v1.3 becomes current.</w:t>
      </w:r>
    </w:p>
    <w:p>
      <w:pPr>
        <w:pStyle w:val="Heading1"/>
      </w:pPr>
      <w:r>
        <w:t>17. Revision History</w:t>
      </w:r>
    </w:p>
    <w:tbl>
      <w:tblPr>
        <w:tblStyle w:val="TableGrid"/>
        <w:tblW w:type="auto" w:w="0"/>
        <w:tblLayout w:type="fixed"/>
        <w:tblLook w:firstColumn="1" w:firstRow="1" w:lastColumn="0" w:lastRow="0" w:noHBand="0" w:noVBand="1" w:val="04A0"/>
      </w:tblPr>
      <w:tblGrid>
        <w:gridCol w:w="2880"/>
        <w:gridCol w:w="2880"/>
        <w:gridCol w:w="2880"/>
      </w:tblGrid>
      <w:tr>
        <w:trPr>
          <w:tblHeader w:val="true"/>
        </w:trPr>
        <w:tc>
          <w:tcPr>
            <w:tcW w:type="dxa" w:w="2880"/>
            <w:vAlign w:val="center"/>
          </w:tcPr>
          <w:p>
            <w:r>
              <w:t>Version</w:t>
            </w:r>
          </w:p>
        </w:tc>
        <w:tc>
          <w:tcPr>
            <w:tcW w:type="dxa" w:w="2880"/>
            <w:vAlign w:val="center"/>
          </w:tcPr>
          <w:p>
            <w:r>
              <w:t>Status</w:t>
            </w:r>
          </w:p>
        </w:tc>
        <w:tc>
          <w:tcPr>
            <w:tcW w:type="dxa" w:w="2880"/>
            <w:vAlign w:val="center"/>
          </w:tcPr>
          <w:p>
            <w:r>
              <w:t>Summary</w:t>
            </w:r>
          </w:p>
        </w:tc>
      </w:tr>
      <w:tr>
        <w:tc>
          <w:tcPr>
            <w:tcW w:type="dxa" w:w="2880"/>
            <w:vAlign w:val="center"/>
          </w:tcPr>
          <w:p>
            <w:r>
              <w:t>1.2</w:t>
            </w:r>
          </w:p>
        </w:tc>
        <w:tc>
          <w:tcPr>
            <w:tcW w:type="dxa" w:w="2880"/>
            <w:vAlign w:val="center"/>
          </w:tcPr>
          <w:p>
            <w:r>
              <w:t>Superseded</w:t>
            </w:r>
          </w:p>
        </w:tc>
        <w:tc>
          <w:tcPr>
            <w:tcW w:type="dxa" w:w="2880"/>
            <w:vAlign w:val="center"/>
          </w:tcPr>
          <w:p>
            <w:r>
              <w:t>Prior frozen engineering standard; authorized-artifacts rules also existed in a standalone amendment</w:t>
            </w:r>
          </w:p>
        </w:tc>
      </w:tr>
      <w:tr>
        <w:tc>
          <w:tcPr>
            <w:tcW w:type="dxa" w:w="2880"/>
            <w:vAlign w:val="center"/>
          </w:tcPr>
          <w:p>
            <w:r>
              <w:t>1.3</w:t>
            </w:r>
          </w:p>
        </w:tc>
        <w:tc>
          <w:tcPr>
            <w:tcW w:type="dxa" w:w="2880"/>
            <w:vAlign w:val="center"/>
          </w:tcPr>
          <w:p>
            <w:r>
              <w:t>Frozen</w:t>
            </w:r>
          </w:p>
        </w:tc>
        <w:tc>
          <w:tcPr>
            <w:tcW w:type="dxa" w:w="2880"/>
            <w:vAlign w:val="center"/>
          </w:tcPr>
          <w:p>
            <w:r>
              <w:t>Consolidated authorized-artifacts governance, registry resolution, explicit external-contract authorization, and stop/review rules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