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KRM-001 — Knowledge Business Capability Specification</w:t>
      </w:r>
    </w:p>
    <w:p>
      <w:pPr>
        <w:jc w:val="center"/>
      </w:pPr>
      <w:r>
        <w:rPr>
          <w:b/>
        </w:rPr>
        <w:t>Version 1.3</w:t>
        <w:br/>
        <w:t>Status: FROZEN</w:t>
        <w:br/>
        <w:t>Release Type: Clarification Release</w:t>
        <w:br/>
        <w:t>Document Type: Business Capability Specification (BCS)</w:t>
        <w:br/>
        <w:t>Authoritative for: CDD-007</w:t>
      </w:r>
    </w:p>
    <w:p>
      <w:pPr>
        <w:pStyle w:val="Heading1"/>
      </w:pPr>
      <w:r>
        <w:t>1. Executive Summary</w:t>
      </w:r>
    </w:p>
    <w:p>
      <w:r>
        <w:t>Knowledge evaluates whether an Assertion has satisfied institutional acceptance. Only an Institutionalized evaluation establishes Institutional Knowledge.</w:t>
      </w:r>
    </w:p>
    <w:p>
      <w:pPr>
        <w:pStyle w:val="Heading1"/>
      </w:pPr>
      <w:r>
        <w:t>2. Business Purpose</w:t>
      </w:r>
    </w:p>
    <w:p>
      <w:r>
        <w:t>Enterprise Entity Resolution answers 'Who or What is this?'.</w:t>
      </w:r>
    </w:p>
    <w:p>
      <w:r>
        <w:t>Semantic Resolution answers 'What does it mean?'.</w:t>
      </w:r>
    </w:p>
    <w:p>
      <w:r>
        <w:t>Assertion establishes a governed proposition.</w:t>
      </w:r>
    </w:p>
    <w:p>
      <w:r>
        <w:t>Knowledge establishes what the enterprise has institutionalized as true.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Knowledge Evaluation</w:t>
      </w:r>
    </w:p>
    <w:p>
      <w:r>
        <w:t>• Institutional Acceptance Evaluation</w:t>
      </w:r>
    </w:p>
    <w:p>
      <w:r>
        <w:t>• Knowledge Promotion</w:t>
      </w:r>
    </w:p>
    <w:p>
      <w:r>
        <w:t>• Knowledge Evaluation Record</w:t>
      </w:r>
    </w:p>
    <w:p>
      <w:r>
        <w:t>• Knowledge Explanation</w:t>
      </w:r>
    </w:p>
    <w:p>
      <w:r>
        <w:t>• Knowledge History</w:t>
      </w:r>
    </w:p>
    <w:p>
      <w:r>
        <w:t>RFCs govern cross-capability boundaries. A Business Capability Specification governs business semantics only inside its assigned capability. In accordance with RFC-013, Knowledge consumes Acceptance Evidence produced under Governance Authority; Knowledge does not grant approval and Governance Evaluation does not produce Acceptance Evidence.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Assertion creation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Principle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CP-KR-001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belongs to the institution, not to individuals, source systems, or algorithms.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from an existing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CP-KR-003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Evaluation Records are immutable.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CP-KR-004</w:t>
            </w:r>
          </w:p>
        </w:tc>
        <w:tc>
          <w:tcPr>
            <w:tcW w:type="dxa" w:w="4320"/>
          </w:tcPr>
          <w:p>
            <w:r>
              <w:t>Governance Authority produces Acceptance Evidence. Knowledge evaluates Acceptance Evidence against the applicable policy; it never approves Assertions or defines policy. Governance Evaluation does not produce Acceptance Evidence.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CP-KR-005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Human override creates a new Knowledge Evaluation Record.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CP-KR-006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Every Knowledge Evaluation Record is explainable and traceable to exactly one Assertion without duplicating Assertion provenance.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CP-KR-007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when institutional acceptance has been demonstrated, not merely proposed.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Concept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Institutional Knowledge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Assertion accepted by the enterprise after institutional acceptance has been demonstrated.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Evaluation Record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immutable business artifact recording the evaluation of exactly one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Acceptance Evidence</w:t>
            </w:r>
          </w:p>
        </w:tc>
        <w:tc>
          <w:tcPr>
            <w:tcW w:type="dxa" w:w="4320"/>
          </w:tcPr>
          <w:p>
            <w:r>
              <w:t>Documented evidence that institutional acceptance has occurred, as defined by AEM-001. Knowledge evaluates this evidence. It is produced under Governance Authority in accordance with RFC-013, not by Governance Evaluation.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High / Medium / Low; valid for every Evaluation Outcome.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The required business explanation for a Rejected Evaluation Outcome.</w:t>
            </w:r>
          </w:p>
        </w:tc>
      </w:tr>
    </w:tbl>
    <w:p>
      <w:pPr>
        <w:pStyle w:val="Heading1"/>
      </w:pPr>
      <w:r>
        <w:t>6. Inputs</w:t>
      </w:r>
    </w:p>
    <w:p>
      <w:r>
        <w:t>• Assertion Record</w:t>
      </w:r>
    </w:p>
    <w:p>
      <w:r>
        <w:t>• Business Policies</w:t>
      </w:r>
    </w:p>
    <w:p>
      <w:r>
        <w:t>• Acceptance Evidence</w:t>
      </w:r>
    </w:p>
    <w:p>
      <w:pPr>
        <w:pStyle w:val="Heading1"/>
      </w:pPr>
      <w:r>
        <w:t>7. Output</w:t>
      </w:r>
    </w:p>
    <w:p>
      <w:r>
        <w:t>Knowledge Evaluation Record</w:t>
      </w:r>
    </w:p>
    <w:p>
      <w:pPr>
        <w:pStyle w:val="Heading1"/>
      </w:pPr>
      <w:r>
        <w:t>8. Knowledge Evaluation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Business Attribute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Record Identifier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Unique immutable identifier for the Knowledge Evaluation Record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Assertion Reference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Exactly one Assertion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Outcome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Institutionalized, Candidate, Rejected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Structured reasons and narrative explaining the evaluation outcome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Acceptance Evidence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Institutionalized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Rejected (may extend the Evaluation Explanation)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High / Medium / Low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Policy Version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Governing policy evaluated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Effective From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May be past, present, or future</w:t>
            </w:r>
          </w:p>
        </w:tc>
      </w:tr>
      <w:tr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Produced Timestamp</w:t>
            </w:r>
          </w:p>
        </w:tc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Creation timestamp</w:t>
            </w:r>
          </w:p>
        </w:tc>
      </w:tr>
    </w:tbl>
    <w:p>
      <w:pPr>
        <w:pStyle w:val="Heading1"/>
      </w:pPr>
      <w:r>
        <w:t>9. Knowledge Outcome Rules</w:t>
      </w:r>
    </w:p>
    <w:p>
      <w:r>
        <w:t>Institutionalized</w:t>
        <w:br/>
      </w:r>
      <w:r>
        <w:t>Requires: Acceptance Evidence</w:t>
        <w:br/>
      </w:r>
      <w:r>
        <w:t>Produces: Institutional Knowledge</w:t>
      </w:r>
    </w:p>
    <w:p>
      <w:r>
        <w:t>Candidate</w:t>
        <w:br/>
      </w:r>
      <w:r>
        <w:t>Acceptance pending.</w:t>
        <w:br/>
      </w:r>
      <w:r>
        <w:t>Acceptance Evidence MAY be absent.</w:t>
        <w:br/>
      </w:r>
      <w:r>
        <w:t>Institutional Knowledge is NOT created.</w:t>
      </w:r>
    </w:p>
    <w:p>
      <w:r>
        <w:t>Rejected</w:t>
        <w:br/>
      </w:r>
      <w:r>
        <w:t>Requires: Rejection Explanation</w:t>
        <w:br/>
      </w:r>
      <w:r>
        <w:t>Institutional Knowledge is NOT created.</w:t>
      </w:r>
    </w:p>
    <w:p>
      <w:r>
        <w:t>Knowledge Confidence is valid for all outcomes.</w:t>
      </w:r>
    </w:p>
    <w:p>
      <w:pPr>
        <w:pStyle w:val="Heading1"/>
      </w:pPr>
      <w:r>
        <w:t>10. Knowledge Identity and History</w:t>
      </w:r>
    </w:p>
    <w:p>
      <w:pPr>
        <w:keepLines/>
      </w:pPr>
      <w:r>
        <w:t>Only one current Knowledge Evaluation may exist for a given Assertion. Current knowledge understanding is determined outside the immutable Knowledge Evaluation Record from the ordered history of evaluation records in accordance with RFC-011.</w:t>
      </w:r>
    </w:p>
    <w:p>
      <w:pPr>
        <w:pStyle w:val="Heading1"/>
      </w:pPr>
      <w:r>
        <w:t>11. Human Override</w:t>
      </w:r>
    </w:p>
    <w:p>
      <w:r>
        <w:t>Human Override creates a new Knowledge Evaluation Record. Changing Evaluation Outcome requires new Acceptance Evidence or new Rejection Explanation, as appropriate.</w:t>
      </w:r>
    </w:p>
    <w:p>
      <w:pPr>
        <w:pStyle w:val="Heading1"/>
      </w:pPr>
      <w:r>
        <w:t>12. Example</w:t>
      </w:r>
    </w:p>
    <w:p>
      <w:r>
        <w:t>Assertion: Supplier ABC — is — Strategic Supplier</w:t>
        <w:br/>
        <w:t>Acceptance Evidence: Institutional acceptance produced under Governance Authority under the applicable policy</w:t>
        <w:br/>
        <w:t>Evaluation Outcome: Institutionalized</w:t>
        <w:br/>
        <w:t>Institutional Knowledge: Supplier ABC is recognized by the enterprise as a Strategic Supplier.</w:t>
      </w:r>
    </w:p>
    <w:p>
      <w:pPr>
        <w:pStyle w:val="Heading1"/>
      </w:pPr>
      <w:r>
        <w:t>13. Relationship to Other Capabilities</w:t>
      </w:r>
    </w:p>
    <w:p>
      <w:r>
        <w:t>Consumes Assertion Records from ASM-001.</w:t>
      </w:r>
    </w:p>
    <w:p>
      <w:r>
        <w:t>Produces Knowledge Evaluation Records and, only for an Institutionalized outcome, establishes Institutional Knowledge for downstream capabilities.</w:t>
      </w:r>
    </w:p>
    <w:p>
      <w:pPr>
        <w:pStyle w:val="Heading1"/>
      </w:pPr>
      <w:r>
        <w:t>14. Success Criteria</w:t>
      </w:r>
    </w:p>
    <w:p>
      <w:r>
        <w:t>Knowledge Evaluation Records are immutable, explainable, traceable, and derived from exactly one Assertion. Institutional Knowledge is established only when Acceptance Evidence demonstrates institutional acceptance.</w:t>
      </w:r>
    </w:p>
    <w:p>
      <w:pPr>
        <w:pStyle w:val="Heading1"/>
      </w:pPr>
      <w:r>
        <w:t>15. Traceability</w:t>
      </w:r>
    </w:p>
    <w:p>
      <w:pPr>
        <w:spacing w:before="0" w:after="40"/>
      </w:pPr>
      <w:r>
        <w:t>• EAH-001</w:t>
      </w:r>
    </w:p>
    <w:p>
      <w:pPr>
        <w:spacing w:before="0" w:after="40"/>
      </w:pPr>
      <w:r>
        <w:t>• RFC-010</w:t>
      </w:r>
    </w:p>
    <w:p>
      <w:pPr>
        <w:spacing w:before="0" w:after="40"/>
      </w:pPr>
      <w:r>
        <w:t>• CDD-003 Revision 2</w:t>
      </w:r>
    </w:p>
    <w:p>
      <w:pPr>
        <w:spacing w:before="0" w:after="40"/>
      </w:pPr>
      <w:r>
        <w:t>• ERM-001 v2.2</w:t>
      </w:r>
    </w:p>
    <w:p>
      <w:pPr>
        <w:spacing w:before="0" w:after="40"/>
      </w:pPr>
      <w:r>
        <w:t>• SRM-001 v2.1</w:t>
      </w:r>
    </w:p>
    <w:p>
      <w:pPr>
        <w:spacing w:before="0" w:after="40"/>
      </w:pPr>
      <w:r>
        <w:t>• ASM-001 v2.1</w:t>
      </w:r>
    </w:p>
    <w:p>
      <w:pPr>
        <w:spacing w:before="0" w:after="40"/>
      </w:pPr>
      <w:r>
        <w:t>• AEM-001 v1.1</w:t>
      </w:r>
    </w:p>
    <w:p>
      <w:pPr>
        <w:spacing w:before="0" w:after="40"/>
      </w:pPr>
      <w:r>
        <w:t>• RFC-011 v1.0</w:t>
      </w:r>
    </w:p>
    <w:p>
      <w:r>
        <w:t>• RFC-013 v1.0</w:t>
      </w:r>
    </w:p>
    <w:p>
      <w:pPr>
        <w:spacing w:before="0" w:after="40"/>
      </w:pPr>
      <w:r>
        <w:t>• KRM-001 v1.3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KRM-001 — Knowledge Business Capability Specification v1.3</dc:title>
  <dc:subject>Clarification Release — Governance Authority boundary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