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PMM-001</w:t>
        <w:br/>
        <w:t>Persistence Role Mapping</w:t>
      </w:r>
    </w:p>
    <w:p>
      <w:pPr>
        <w:pStyle w:val="Subtitle"/>
        <w:jc w:val="center"/>
      </w:pPr>
      <w:r>
        <w:t>Architecture Specification</w:t>
      </w:r>
    </w:p>
    <w:tbl>
      <w:tblPr>
        <w:tblStyle w:val="TableGrid"/>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shd w:fill="E8EEF5"/>
          </w:tcPr>
          <w:p>
            <w:pPr>
              <w:spacing w:before="0" w:after="0" w:line="252" w:lineRule="auto"/>
            </w:pPr>
            <w:r>
              <w:rPr>
                <w:rFonts w:ascii="Calibri" w:hAnsi="Calibri"/>
                <w:b/>
                <w:color w:val="0B2545"/>
                <w:sz w:val="20"/>
              </w:rPr>
              <w:t>Control</w:t>
            </w:r>
          </w:p>
        </w:tc>
        <w:tc>
          <w:tcPr>
            <w:tcW w:type="dxa" w:w="6960"/>
            <w:vAlign w:val="center"/>
            <w:tcMar>
              <w:top w:w="80" w:type="dxa"/>
              <w:start w:w="120" w:type="dxa"/>
              <w:bottom w:w="80" w:type="dxa"/>
              <w:end w:w="120" w:type="dxa"/>
            </w:tcMar>
            <w:shd w:fill="E8EEF5"/>
          </w:tcPr>
          <w:p>
            <w:pPr>
              <w:spacing w:before="0" w:after="0" w:line="252" w:lineRule="auto"/>
            </w:pPr>
            <w:r>
              <w:rPr>
                <w:rFonts w:ascii="Calibri" w:hAnsi="Calibri"/>
                <w:b/>
                <w:color w:val="0B2545"/>
                <w:sz w:val="20"/>
              </w:rPr>
              <w:t>Value</w:t>
            </w:r>
          </w:p>
        </w:tc>
      </w:tr>
      <w:tr>
        <w:trPr>
          <w:cantSplit/>
        </w:trPr>
        <w:tc>
          <w:tcPr>
            <w:tcW w:type="dxa" w:w="2400"/>
            <w:vAlign w:val="center"/>
            <w:tcMar>
              <w:top w:w="80" w:type="dxa"/>
              <w:start w:w="120" w:type="dxa"/>
              <w:bottom w:w="80" w:type="dxa"/>
              <w:end w:w="120" w:type="dxa"/>
            </w:tcMar>
          </w:tcPr>
          <w:p>
            <w:pPr>
              <w:spacing w:before="0" w:after="0" w:line="252" w:lineRule="auto"/>
            </w:pPr>
            <w:r>
              <w:rPr>
                <w:rFonts w:ascii="Calibri" w:hAnsi="Calibri"/>
                <w:sz w:val="20"/>
              </w:rPr>
              <w:t>Version</w:t>
            </w:r>
          </w:p>
        </w:tc>
        <w:tc>
          <w:tcPr>
            <w:tcW w:type="dxa" w:w="6960"/>
            <w:vAlign w:val="center"/>
            <w:tcMar>
              <w:top w:w="80" w:type="dxa"/>
              <w:start w:w="120" w:type="dxa"/>
              <w:bottom w:w="80" w:type="dxa"/>
              <w:end w:w="120" w:type="dxa"/>
            </w:tcMar>
          </w:tcPr>
          <w:p>
            <w:pPr>
              <w:spacing w:before="0" w:after="0" w:line="252" w:lineRule="auto"/>
            </w:pPr>
            <w:r>
              <w:rPr>
                <w:rFonts w:ascii="Calibri" w:hAnsi="Calibri"/>
                <w:sz w:val="20"/>
              </w:rPr>
              <w:t>1.0</w:t>
            </w:r>
          </w:p>
        </w:tc>
      </w:tr>
      <w:tr>
        <w:trPr>
          <w:cantSplit/>
        </w:trPr>
        <w:tc>
          <w:tcPr>
            <w:tcW w:type="dxa" w:w="2400"/>
            <w:vAlign w:val="center"/>
            <w:tcMar>
              <w:top w:w="80" w:type="dxa"/>
              <w:start w:w="120" w:type="dxa"/>
              <w:bottom w:w="80" w:type="dxa"/>
              <w:end w:w="120" w:type="dxa"/>
            </w:tcMar>
          </w:tcPr>
          <w:p>
            <w:pPr>
              <w:spacing w:before="0" w:after="0" w:line="252" w:lineRule="auto"/>
            </w:pPr>
            <w:r>
              <w:rPr>
                <w:rFonts w:ascii="Calibri" w:hAnsi="Calibri"/>
                <w:sz w:val="20"/>
              </w:rPr>
              <w:t>Status</w:t>
            </w:r>
          </w:p>
        </w:tc>
        <w:tc>
          <w:tcPr>
            <w:tcW w:type="dxa" w:w="6960"/>
            <w:vAlign w:val="center"/>
            <w:tcMar>
              <w:top w:w="80" w:type="dxa"/>
              <w:start w:w="120" w:type="dxa"/>
              <w:bottom w:w="80" w:type="dxa"/>
              <w:end w:w="120" w:type="dxa"/>
            </w:tcMar>
          </w:tcPr>
          <w:p>
            <w:pPr>
              <w:spacing w:before="0" w:after="0" w:line="252" w:lineRule="auto"/>
            </w:pPr>
            <w:r>
              <w:rPr>
                <w:rFonts w:ascii="Calibri" w:hAnsi="Calibri"/>
                <w:sz w:val="20"/>
              </w:rPr>
              <w:t>FROZEN</w:t>
            </w:r>
          </w:p>
        </w:tc>
      </w:tr>
      <w:tr>
        <w:trPr>
          <w:cantSplit/>
        </w:trPr>
        <w:tc>
          <w:tcPr>
            <w:tcW w:type="dxa" w:w="2400"/>
            <w:vAlign w:val="center"/>
            <w:tcMar>
              <w:top w:w="80" w:type="dxa"/>
              <w:start w:w="120" w:type="dxa"/>
              <w:bottom w:w="80" w:type="dxa"/>
              <w:end w:w="120" w:type="dxa"/>
            </w:tcMar>
          </w:tcPr>
          <w:p>
            <w:pPr>
              <w:spacing w:before="0" w:after="0" w:line="252" w:lineRule="auto"/>
            </w:pPr>
            <w:r>
              <w:rPr>
                <w:rFonts w:ascii="Calibri" w:hAnsi="Calibri"/>
                <w:sz w:val="20"/>
              </w:rPr>
              <w:t>Release Type</w:t>
            </w:r>
          </w:p>
        </w:tc>
        <w:tc>
          <w:tcPr>
            <w:tcW w:type="dxa" w:w="6960"/>
            <w:vAlign w:val="center"/>
            <w:tcMar>
              <w:top w:w="80" w:type="dxa"/>
              <w:start w:w="120" w:type="dxa"/>
              <w:bottom w:w="80" w:type="dxa"/>
              <w:end w:w="120" w:type="dxa"/>
            </w:tcMar>
          </w:tcPr>
          <w:p>
            <w:pPr>
              <w:spacing w:before="0" w:after="0" w:line="252" w:lineRule="auto"/>
            </w:pPr>
            <w:r>
              <w:rPr>
                <w:rFonts w:ascii="Calibri" w:hAnsi="Calibri"/>
                <w:sz w:val="20"/>
              </w:rPr>
              <w:t>Architecture Governance Release</w:t>
            </w:r>
          </w:p>
        </w:tc>
      </w:tr>
      <w:tr>
        <w:trPr>
          <w:cantSplit/>
        </w:trPr>
        <w:tc>
          <w:tcPr>
            <w:tcW w:type="dxa" w:w="2400"/>
            <w:vAlign w:val="center"/>
            <w:tcMar>
              <w:top w:w="80" w:type="dxa"/>
              <w:start w:w="120" w:type="dxa"/>
              <w:bottom w:w="80" w:type="dxa"/>
              <w:end w:w="120" w:type="dxa"/>
            </w:tcMar>
          </w:tcPr>
          <w:p>
            <w:pPr>
              <w:spacing w:before="0" w:after="0" w:line="252" w:lineRule="auto"/>
            </w:pPr>
            <w:r>
              <w:rPr>
                <w:rFonts w:ascii="Calibri" w:hAnsi="Calibri"/>
                <w:sz w:val="20"/>
              </w:rPr>
              <w:t>Authority</w:t>
            </w:r>
          </w:p>
        </w:tc>
        <w:tc>
          <w:tcPr>
            <w:tcW w:type="dxa" w:w="6960"/>
            <w:vAlign w:val="center"/>
            <w:tcMar>
              <w:top w:w="80" w:type="dxa"/>
              <w:start w:w="120" w:type="dxa"/>
              <w:bottom w:w="80" w:type="dxa"/>
              <w:end w:w="120" w:type="dxa"/>
            </w:tcMar>
          </w:tcPr>
          <w:p>
            <w:pPr>
              <w:spacing w:before="0" w:after="0" w:line="252" w:lineRule="auto"/>
            </w:pPr>
            <w:r>
              <w:rPr>
                <w:rFonts w:ascii="Calibri" w:hAnsi="Calibri"/>
                <w:sz w:val="20"/>
              </w:rPr>
              <w:t>AUTHORITATIVE</w:t>
            </w:r>
          </w:p>
        </w:tc>
      </w:tr>
      <w:tr>
        <w:trPr>
          <w:cantSplit/>
        </w:trPr>
        <w:tc>
          <w:tcPr>
            <w:tcW w:type="dxa" w:w="2400"/>
            <w:vAlign w:val="center"/>
            <w:tcMar>
              <w:top w:w="80" w:type="dxa"/>
              <w:start w:w="120" w:type="dxa"/>
              <w:bottom w:w="80" w:type="dxa"/>
              <w:end w:w="120" w:type="dxa"/>
            </w:tcMar>
          </w:tcPr>
          <w:p>
            <w:pPr>
              <w:spacing w:before="0" w:after="0" w:line="252" w:lineRule="auto"/>
            </w:pPr>
            <w:r>
              <w:rPr>
                <w:rFonts w:ascii="Calibri" w:hAnsi="Calibri"/>
                <w:sz w:val="20"/>
              </w:rPr>
              <w:t>Physical Baseline</w:t>
            </w:r>
          </w:p>
        </w:tc>
        <w:tc>
          <w:tcPr>
            <w:tcW w:type="dxa" w:w="6960"/>
            <w:vAlign w:val="center"/>
            <w:tcMar>
              <w:top w:w="80" w:type="dxa"/>
              <w:start w:w="120" w:type="dxa"/>
              <w:bottom w:w="80" w:type="dxa"/>
              <w:end w:w="120" w:type="dxa"/>
            </w:tcMar>
          </w:tcPr>
          <w:p>
            <w:pPr>
              <w:spacing w:before="0" w:after="0" w:line="252" w:lineRule="auto"/>
            </w:pPr>
            <w:r>
              <w:rPr>
                <w:rFonts w:ascii="Calibri" w:hAnsi="Calibri"/>
                <w:sz w:val="20"/>
              </w:rPr>
              <w:t>ECOM Physical Data Model v1.3</w:t>
            </w:r>
          </w:p>
        </w:tc>
      </w:tr>
      <w:tr>
        <w:trPr>
          <w:cantSplit/>
        </w:trPr>
        <w:tc>
          <w:tcPr>
            <w:tcW w:type="dxa" w:w="2400"/>
            <w:vAlign w:val="center"/>
            <w:tcMar>
              <w:top w:w="80" w:type="dxa"/>
              <w:start w:w="120" w:type="dxa"/>
              <w:bottom w:w="80" w:type="dxa"/>
              <w:end w:w="120" w:type="dxa"/>
            </w:tcMar>
          </w:tcPr>
          <w:p>
            <w:pPr>
              <w:spacing w:before="0" w:after="0" w:line="252" w:lineRule="auto"/>
            </w:pPr>
            <w:r>
              <w:rPr>
                <w:rFonts w:ascii="Calibri" w:hAnsi="Calibri"/>
                <w:sz w:val="20"/>
              </w:rPr>
              <w:t>Scope</w:t>
            </w:r>
          </w:p>
        </w:tc>
        <w:tc>
          <w:tcPr>
            <w:tcW w:type="dxa" w:w="6960"/>
            <w:vAlign w:val="center"/>
            <w:tcMar>
              <w:top w:w="80" w:type="dxa"/>
              <w:start w:w="120" w:type="dxa"/>
              <w:bottom w:w="80" w:type="dxa"/>
              <w:end w:w="120" w:type="dxa"/>
            </w:tcMar>
          </w:tcPr>
          <w:p>
            <w:pPr>
              <w:spacing w:before="0" w:after="0" w:line="252" w:lineRule="auto"/>
            </w:pPr>
            <w:r>
              <w:rPr>
                <w:rFonts w:ascii="Calibri" w:hAnsi="Calibri"/>
                <w:sz w:val="20"/>
              </w:rPr>
              <w:t>All 42 persisted tables present in the governed baseline</w:t>
            </w:r>
          </w:p>
        </w:tc>
      </w:tr>
    </w:tbl>
    <w:p>
      <w:pPr>
        <w:spacing w:after="0"/>
      </w:pPr>
    </w:p>
    <w:p>
      <w:pPr>
        <w:pStyle w:val="Heading1"/>
      </w:pPr>
      <w:r>
        <w:t>1. Executive Decision</w:t>
      </w:r>
    </w:p>
    <w:p>
      <w:r>
        <w:t>Every persisted table in the current CTEC baseline is assigned exactly one persistence role. The assignment governs permitted writes and prevents immutable evaluation history, mutable currentness projections, and canonical outcomes from being conflated.</w:t>
      </w:r>
    </w:p>
    <w:p>
      <w:r>
        <w:t>No runtime component is authorized by this specification to write a canonical outcome projection. A separate governed projection contract must identify the qualifying business outcome, source immutable record, idempotency rule, provenance rule, and authorized writer before such writes may be implemented.</w:t>
      </w:r>
    </w:p>
    <w:p>
      <w:pPr>
        <w:pStyle w:val="Heading1"/>
      </w:pPr>
      <w:r>
        <w:t>2. Authority and Precedence</w:t>
      </w:r>
    </w:p>
    <w:p>
      <w:r>
        <w:t>The frozen Physical Model remains authoritative for canonical table structure. RFC-011 governs immutable-record lifecycle and external currentness. CAM-001 governs the mapping from evaluation outcomes to canonical outcomes. RFC-013 governs the Governance Authority boundary. Business Capability Specifications govern semantics only within their assigned capabilities. PMM-001 governs persistence-table roles and write eligibility; it does not change the ontology, the Logical Model, EAD-001, or the Physical Model.</w:t>
      </w:r>
    </w:p>
    <w:p>
      <w:pPr>
        <w:pStyle w:val="Heading1"/>
      </w:pPr>
      <w:r>
        <w:t>3. Persistence Roles</w:t>
      </w:r>
    </w:p>
    <w:tbl>
      <w:tblPr>
        <w:tblStyle w:val="TableGrid"/>
        <w:tblW w:type="dxa" w:w="9360"/>
        <w:jc w:val="left"/>
        <w:tblLayout w:type="fixed"/>
        <w:tblLook w:firstColumn="1" w:firstRow="1" w:lastColumn="0" w:lastRow="0" w:noHBand="0" w:noVBand="1" w:val="04A0"/>
        <w:tblInd w:w="120" w:type="dxa"/>
      </w:tblPr>
      <w:tblGrid>
        <w:gridCol w:w="2050"/>
        <w:gridCol w:w="4010"/>
        <w:gridCol w:w="3300"/>
      </w:tblGrid>
      <w:tr>
        <w:trPr>
          <w:cantSplit/>
          <w:tblHeader w:val="true"/>
        </w:trPr>
        <w:tc>
          <w:tcPr>
            <w:tcW w:type="dxa" w:w="205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Role</w:t>
            </w:r>
          </w:p>
        </w:tc>
        <w:tc>
          <w:tcPr>
            <w:tcW w:type="dxa" w:w="401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Definition</w:t>
            </w:r>
          </w:p>
        </w:tc>
        <w:tc>
          <w:tcPr>
            <w:tcW w:type="dxa" w:w="330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Write Rule</w:t>
            </w:r>
          </w:p>
        </w:tc>
      </w:tr>
      <w:tr>
        <w:trPr>
          <w:cantSplit/>
        </w:trPr>
        <w:tc>
          <w:tcPr>
            <w:tcW w:type="dxa" w:w="2050"/>
            <w:vAlign w:val="center"/>
            <w:tcMar>
              <w:top w:w="80" w:type="dxa"/>
              <w:start w:w="120" w:type="dxa"/>
              <w:bottom w:w="80" w:type="dxa"/>
              <w:end w:w="120" w:type="dxa"/>
            </w:tcMar>
          </w:tcPr>
          <w:p>
            <w:pPr>
              <w:spacing w:before="0" w:after="0" w:line="252" w:lineRule="auto"/>
            </w:pPr>
            <w:r>
              <w:rPr>
                <w:rFonts w:ascii="Calibri" w:hAnsi="Calibri"/>
                <w:sz w:val="17"/>
              </w:rPr>
              <w:t>Immutable source record</w:t>
            </w:r>
          </w:p>
        </w:tc>
        <w:tc>
          <w:tcPr>
            <w:tcW w:type="dxa" w:w="4010"/>
            <w:vAlign w:val="center"/>
            <w:tcMar>
              <w:top w:w="80" w:type="dxa"/>
              <w:start w:w="120" w:type="dxa"/>
              <w:bottom w:w="80" w:type="dxa"/>
              <w:end w:w="120" w:type="dxa"/>
            </w:tcMar>
          </w:tcPr>
          <w:p>
            <w:pPr>
              <w:spacing w:before="0" w:after="0" w:line="252" w:lineRule="auto"/>
            </w:pPr>
            <w:r>
              <w:rPr>
                <w:rFonts w:ascii="Calibri" w:hAnsi="Calibri"/>
                <w:sz w:val="17"/>
              </w:rPr>
              <w:t>Authoritative append-only record or provenance binding from which understanding is derived.</w:t>
            </w:r>
          </w:p>
        </w:tc>
        <w:tc>
          <w:tcPr>
            <w:tcW w:type="dxa" w:w="3300"/>
            <w:vAlign w:val="center"/>
            <w:tcMar>
              <w:top w:w="80" w:type="dxa"/>
              <w:start w:w="120" w:type="dxa"/>
              <w:bottom w:w="80" w:type="dxa"/>
              <w:end w:w="120" w:type="dxa"/>
            </w:tcMar>
          </w:tcPr>
          <w:p>
            <w:pPr>
              <w:spacing w:before="0" w:after="0" w:line="252" w:lineRule="auto"/>
            </w:pPr>
            <w:r>
              <w:rPr>
                <w:rFonts w:ascii="Calibri" w:hAnsi="Calibri"/>
                <w:sz w:val="17"/>
              </w:rPr>
              <w:t>Insert once. No runtime update or delete.</w:t>
            </w:r>
          </w:p>
        </w:tc>
      </w:tr>
      <w:tr>
        <w:trPr>
          <w:cantSplit/>
        </w:trPr>
        <w:tc>
          <w:tcPr>
            <w:tcW w:type="dxa" w:w="2050"/>
            <w:vAlign w:val="center"/>
            <w:tcMar>
              <w:top w:w="80" w:type="dxa"/>
              <w:start w:w="120" w:type="dxa"/>
              <w:bottom w:w="80" w:type="dxa"/>
              <w:end w:w="120" w:type="dxa"/>
            </w:tcMar>
          </w:tcPr>
          <w:p>
            <w:pPr>
              <w:spacing w:before="0" w:after="0" w:line="252" w:lineRule="auto"/>
            </w:pPr>
            <w:r>
              <w:rPr>
                <w:rFonts w:ascii="Calibri" w:hAnsi="Calibri"/>
                <w:sz w:val="17"/>
              </w:rPr>
              <w:t>Externally determined currentness projection</w:t>
            </w:r>
          </w:p>
        </w:tc>
        <w:tc>
          <w:tcPr>
            <w:tcW w:type="dxa" w:w="4010"/>
            <w:vAlign w:val="center"/>
            <w:tcMar>
              <w:top w:w="80" w:type="dxa"/>
              <w:start w:w="120" w:type="dxa"/>
              <w:bottom w:w="80" w:type="dxa"/>
              <w:end w:w="120" w:type="dxa"/>
            </w:tcMar>
          </w:tcPr>
          <w:p>
            <w:pPr>
              <w:spacing w:before="0" w:after="0" w:line="252" w:lineRule="auto"/>
            </w:pPr>
            <w:r>
              <w:rPr>
                <w:rFonts w:ascii="Calibri" w:hAnsi="Calibri"/>
                <w:sz w:val="17"/>
              </w:rPr>
              <w:t>Rebuildable implementation projection derived from ordered immutable history under RFC-011.</w:t>
            </w:r>
          </w:p>
        </w:tc>
        <w:tc>
          <w:tcPr>
            <w:tcW w:type="dxa" w:w="3300"/>
            <w:vAlign w:val="center"/>
            <w:tcMar>
              <w:top w:w="80" w:type="dxa"/>
              <w:start w:w="120" w:type="dxa"/>
              <w:bottom w:w="80" w:type="dxa"/>
              <w:end w:w="120" w:type="dxa"/>
            </w:tcMar>
          </w:tcPr>
          <w:p>
            <w:pPr>
              <w:spacing w:before="0" w:after="0" w:line="252" w:lineRule="auto"/>
            </w:pPr>
            <w:r>
              <w:rPr>
                <w:rFonts w:ascii="Calibri" w:hAnsi="Calibri"/>
                <w:sz w:val="17"/>
              </w:rPr>
              <w:t>Projector may replace derived state; never treated as business lifecycle state.</w:t>
            </w:r>
          </w:p>
        </w:tc>
      </w:tr>
      <w:tr>
        <w:trPr>
          <w:cantSplit/>
        </w:trPr>
        <w:tc>
          <w:tcPr>
            <w:tcW w:type="dxa" w:w="2050"/>
            <w:vAlign w:val="center"/>
            <w:tcMar>
              <w:top w:w="80" w:type="dxa"/>
              <w:start w:w="120" w:type="dxa"/>
              <w:bottom w:w="80" w:type="dxa"/>
              <w:end w:w="120" w:type="dxa"/>
            </w:tcMar>
          </w:tcPr>
          <w:p>
            <w:pPr>
              <w:spacing w:before="0" w:after="0" w:line="252" w:lineRule="auto"/>
            </w:pPr>
            <w:r>
              <w:rPr>
                <w:rFonts w:ascii="Calibri" w:hAnsi="Calibri"/>
                <w:sz w:val="17"/>
              </w:rPr>
              <w:t>Canonical outcome projection</w:t>
            </w:r>
          </w:p>
        </w:tc>
        <w:tc>
          <w:tcPr>
            <w:tcW w:type="dxa" w:w="4010"/>
            <w:vAlign w:val="center"/>
            <w:tcMar>
              <w:top w:w="80" w:type="dxa"/>
              <w:start w:w="120" w:type="dxa"/>
              <w:bottom w:w="80" w:type="dxa"/>
              <w:end w:w="120" w:type="dxa"/>
            </w:tcMar>
          </w:tcPr>
          <w:p>
            <w:pPr>
              <w:spacing w:before="0" w:after="0" w:line="252" w:lineRule="auto"/>
            </w:pPr>
            <w:r>
              <w:rPr>
                <w:rFonts w:ascii="Calibri" w:hAnsi="Calibri"/>
                <w:sz w:val="17"/>
              </w:rPr>
              <w:t>Canonical Physical Model representation of enterprise reality or a qualified business outcome.</w:t>
            </w:r>
          </w:p>
        </w:tc>
        <w:tc>
          <w:tcPr>
            <w:tcW w:type="dxa" w:w="3300"/>
            <w:vAlign w:val="center"/>
            <w:tcMar>
              <w:top w:w="80" w:type="dxa"/>
              <w:start w:w="120" w:type="dxa"/>
              <w:bottom w:w="80" w:type="dxa"/>
              <w:end w:w="120" w:type="dxa"/>
            </w:tcMar>
          </w:tcPr>
          <w:p>
            <w:pPr>
              <w:spacing w:before="0" w:after="0" w:line="252" w:lineRule="auto"/>
            </w:pPr>
            <w:r>
              <w:rPr>
                <w:rFonts w:ascii="Calibri" w:hAnsi="Calibri"/>
                <w:sz w:val="17"/>
              </w:rPr>
              <w:t>Read-only until a governed projection contract authorizes a specific writer.</w:t>
            </w:r>
          </w:p>
        </w:tc>
      </w:tr>
      <w:tr>
        <w:trPr>
          <w:cantSplit/>
        </w:trPr>
        <w:tc>
          <w:tcPr>
            <w:tcW w:type="dxa" w:w="2050"/>
            <w:vAlign w:val="center"/>
            <w:tcMar>
              <w:top w:w="80" w:type="dxa"/>
              <w:start w:w="120" w:type="dxa"/>
              <w:bottom w:w="80" w:type="dxa"/>
              <w:end w:w="120" w:type="dxa"/>
            </w:tcMar>
          </w:tcPr>
          <w:p>
            <w:pPr>
              <w:spacing w:before="0" w:after="0" w:line="252" w:lineRule="auto"/>
            </w:pPr>
            <w:r>
              <w:rPr>
                <w:rFonts w:ascii="Calibri" w:hAnsi="Calibri"/>
                <w:sz w:val="17"/>
              </w:rPr>
              <w:t>Superseded/unused structure</w:t>
            </w:r>
          </w:p>
        </w:tc>
        <w:tc>
          <w:tcPr>
            <w:tcW w:type="dxa" w:w="4010"/>
            <w:vAlign w:val="center"/>
            <w:tcMar>
              <w:top w:w="80" w:type="dxa"/>
              <w:start w:w="120" w:type="dxa"/>
              <w:bottom w:w="80" w:type="dxa"/>
              <w:end w:w="120" w:type="dxa"/>
            </w:tcMar>
          </w:tcPr>
          <w:p>
            <w:pPr>
              <w:spacing w:before="0" w:after="0" w:line="252" w:lineRule="auto"/>
            </w:pPr>
            <w:r>
              <w:rPr>
                <w:rFonts w:ascii="Calibri" w:hAnsi="Calibri"/>
                <w:sz w:val="17"/>
              </w:rPr>
              <w:t>Persisted structure with no authority in the current baseline.</w:t>
            </w:r>
          </w:p>
        </w:tc>
        <w:tc>
          <w:tcPr>
            <w:tcW w:type="dxa" w:w="3300"/>
            <w:vAlign w:val="center"/>
            <w:tcMar>
              <w:top w:w="80" w:type="dxa"/>
              <w:start w:w="120" w:type="dxa"/>
              <w:bottom w:w="80" w:type="dxa"/>
              <w:end w:w="120" w:type="dxa"/>
            </w:tcMar>
          </w:tcPr>
          <w:p>
            <w:pPr>
              <w:spacing w:before="0" w:after="0" w:line="252" w:lineRule="auto"/>
            </w:pPr>
            <w:r>
              <w:rPr>
                <w:rFonts w:ascii="Calibri" w:hAnsi="Calibri"/>
                <w:sz w:val="17"/>
              </w:rPr>
              <w:t>No reads or writes. Retain only for governed migration or removal.</w:t>
            </w:r>
          </w:p>
        </w:tc>
      </w:tr>
    </w:tbl>
    <w:p>
      <w:pPr>
        <w:spacing w:after="0"/>
      </w:pPr>
    </w:p>
    <w:p>
      <w:pPr>
        <w:pStyle w:val="Heading1"/>
      </w:pPr>
      <w:r>
        <w:t>4. Canonical Outcome Projections</w:t>
      </w:r>
    </w:p>
    <w:p>
      <w:r>
        <w:t>The following 30 tables are defined by the frozen Physical Model and are assigned the canonical outcome projection role. This assignment does not assert that every table is currently populated from a cognitive evaluation. It establishes that these tables are canonical—not evaluation history or currentness state—and therefore may not receive new runtime writers without a governed contract.</w:t>
      </w:r>
    </w:p>
    <w:tbl>
      <w:tblPr>
        <w:tblStyle w:val="TableGrid"/>
        <w:tblW w:type="dxa" w:w="9360"/>
        <w:jc w:val="left"/>
        <w:tblLayout w:type="fixed"/>
        <w:tblLook w:firstColumn="1" w:firstRow="1" w:lastColumn="0" w:lastRow="0" w:noHBand="0" w:noVBand="1" w:val="04A0"/>
        <w:tblInd w:w="120" w:type="dxa"/>
      </w:tblPr>
      <w:tblGrid>
        <w:gridCol w:w="2760"/>
        <w:gridCol w:w="2500"/>
        <w:gridCol w:w="4100"/>
      </w:tblGrid>
      <w:tr>
        <w:trPr>
          <w:cantSplit/>
          <w:tblHeader w:val="true"/>
        </w:trPr>
        <w:tc>
          <w:tcPr>
            <w:tcW w:type="dxa" w:w="2760"/>
            <w:vAlign w:val="center"/>
            <w:tcMar>
              <w:top w:w="80" w:type="dxa"/>
              <w:start w:w="120" w:type="dxa"/>
              <w:bottom w:w="80" w:type="dxa"/>
              <w:end w:w="120" w:type="dxa"/>
            </w:tcMar>
            <w:shd w:fill="E8EEF5"/>
          </w:tcPr>
          <w:p>
            <w:pPr>
              <w:spacing w:before="0" w:after="0" w:line="252" w:lineRule="auto"/>
            </w:pPr>
            <w:r>
              <w:rPr>
                <w:rFonts w:ascii="Calibri" w:hAnsi="Calibri"/>
                <w:b/>
                <w:color w:val="0B2545"/>
                <w:sz w:val="16"/>
              </w:rPr>
              <w:t>Table</w:t>
            </w:r>
          </w:p>
        </w:tc>
        <w:tc>
          <w:tcPr>
            <w:tcW w:type="dxa" w:w="2500"/>
            <w:vAlign w:val="center"/>
            <w:tcMar>
              <w:top w:w="80" w:type="dxa"/>
              <w:start w:w="120" w:type="dxa"/>
              <w:bottom w:w="80" w:type="dxa"/>
              <w:end w:w="120" w:type="dxa"/>
            </w:tcMar>
            <w:shd w:fill="E8EEF5"/>
          </w:tcPr>
          <w:p>
            <w:pPr>
              <w:spacing w:before="0" w:after="0" w:line="252" w:lineRule="auto"/>
            </w:pPr>
            <w:r>
              <w:rPr>
                <w:rFonts w:ascii="Calibri" w:hAnsi="Calibri"/>
                <w:b/>
                <w:color w:val="0B2545"/>
                <w:sz w:val="16"/>
              </w:rPr>
              <w:t>Assigned Role</w:t>
            </w:r>
          </w:p>
        </w:tc>
        <w:tc>
          <w:tcPr>
            <w:tcW w:type="dxa" w:w="4100"/>
            <w:vAlign w:val="center"/>
            <w:tcMar>
              <w:top w:w="80" w:type="dxa"/>
              <w:start w:w="120" w:type="dxa"/>
              <w:bottom w:w="80" w:type="dxa"/>
              <w:end w:w="120" w:type="dxa"/>
            </w:tcMar>
            <w:shd w:fill="E8EEF5"/>
          </w:tcPr>
          <w:p>
            <w:pPr>
              <w:spacing w:before="0" w:after="0" w:line="252" w:lineRule="auto"/>
            </w:pPr>
            <w:r>
              <w:rPr>
                <w:rFonts w:ascii="Calibri" w:hAnsi="Calibri"/>
                <w:b/>
                <w:color w:val="0B2545"/>
                <w:sz w:val="16"/>
              </w:rPr>
              <w:t>Governed Write Position</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enterprises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Foundation/reference projection; existing deterministic bootstrap only.</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enterprise_types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Foundation/reference projection; existing deterministic bootstrap only.</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countries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Foundation/reference projection; existing deterministic bootstrap only.</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business_domains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Foundation/reference projection; existing deterministic bootstrap only.</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institutional_concepts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Foundation/reference projection; existing deterministic bootstrap only.</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relationship_types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Foundation/reference projection; existing deterministic bootstrap only.</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entity_types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Foundation/reference projection; existing deterministic bootstrap only.</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enterprise_entities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Foundation/reference projection; existing deterministic bootstrap only.</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evidences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assertions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Cognitive canonical outcome;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institutional_relationships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knowledges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Cognitive canonical outcome;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reasons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reason_graphs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decision_objectives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occasions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pattern_of_relevances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decisions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Cognitive canonical outcome;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decision_states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institutional_actions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outcomes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experiences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governances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Cognitive canonical outcome;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accountable_owners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institutional_acts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contexts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reason_decision_objectives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relationship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reason_evidence</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relationship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assertion_evidence</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relationship projection; runtime writes prohibited pending governed projection contract.</w:t>
            </w:r>
          </w:p>
        </w:tc>
      </w:tr>
      <w:tr>
        <w:trPr>
          <w:cantSplit/>
        </w:trPr>
        <w:tc>
          <w:tcPr>
            <w:tcW w:type="dxa" w:w="2760"/>
            <w:vAlign w:val="center"/>
            <w:tcMar>
              <w:top w:w="80" w:type="dxa"/>
              <w:start w:w="120" w:type="dxa"/>
              <w:bottom w:w="80" w:type="dxa"/>
              <w:end w:w="120" w:type="dxa"/>
            </w:tcMar>
          </w:tcPr>
          <w:p>
            <w:pPr>
              <w:spacing w:before="0" w:after="0" w:line="252" w:lineRule="auto"/>
            </w:pPr>
            <w:r>
              <w:rPr>
                <w:rFonts w:ascii="Calibri" w:hAnsi="Calibri"/>
                <w:sz w:val="16"/>
              </w:rPr>
              <w:t>institutional_relationship_assertions</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6"/>
              </w:rPr>
              <w:t>Canonical outcome projection</w:t>
            </w:r>
          </w:p>
        </w:tc>
        <w:tc>
          <w:tcPr>
            <w:tcW w:type="dxa" w:w="4100"/>
            <w:vAlign w:val="center"/>
            <w:tcMar>
              <w:top w:w="80" w:type="dxa"/>
              <w:start w:w="120" w:type="dxa"/>
              <w:bottom w:w="80" w:type="dxa"/>
              <w:end w:w="120" w:type="dxa"/>
            </w:tcMar>
          </w:tcPr>
          <w:p>
            <w:pPr>
              <w:spacing w:before="0" w:after="0" w:line="252" w:lineRule="auto"/>
            </w:pPr>
            <w:r>
              <w:rPr>
                <w:rFonts w:ascii="Calibri" w:hAnsi="Calibri"/>
                <w:sz w:val="16"/>
              </w:rPr>
              <w:t>Canonical relationship projection; runtime writes prohibited pending governed projection contract.</w:t>
            </w:r>
          </w:p>
        </w:tc>
      </w:tr>
    </w:tbl>
    <w:p>
      <w:pPr>
        <w:spacing w:after="0"/>
      </w:pPr>
    </w:p>
    <w:p>
      <w:pPr>
        <w:pStyle w:val="Heading1"/>
      </w:pPr>
      <w:r>
        <w:t>5. Immutable Source Records</w:t>
      </w:r>
    </w:p>
    <w:p>
      <w:r>
        <w:t>These nine tables preserve source provenance, immutable capability evaluations, or immutable evidence bindings. Development database reset operations may remove seeded data as an environment rebuild action; that exception is not a runtime mutation right.</w:t>
      </w:r>
    </w:p>
    <w:tbl>
      <w:tblPr>
        <w:tblStyle w:val="TableGrid"/>
        <w:tblW w:type="dxa" w:w="9360"/>
        <w:jc w:val="left"/>
        <w:tblLayout w:type="fixed"/>
        <w:tblLook w:firstColumn="1" w:firstRow="1" w:lastColumn="0" w:lastRow="0" w:noHBand="0" w:noVBand="1" w:val="04A0"/>
        <w:tblInd w:w="120" w:type="dxa"/>
      </w:tblPr>
      <w:tblGrid>
        <w:gridCol w:w="3200"/>
        <w:gridCol w:w="1900"/>
        <w:gridCol w:w="4260"/>
      </w:tblGrid>
      <w:tr>
        <w:trPr>
          <w:cantSplit/>
          <w:tblHeader w:val="true"/>
        </w:trPr>
        <w:tc>
          <w:tcPr>
            <w:tcW w:type="dxa" w:w="320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Table</w:t>
            </w:r>
          </w:p>
        </w:tc>
        <w:tc>
          <w:tcPr>
            <w:tcW w:type="dxa" w:w="190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Origin</w:t>
            </w:r>
          </w:p>
        </w:tc>
        <w:tc>
          <w:tcPr>
            <w:tcW w:type="dxa" w:w="426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Role Basis</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source_systems</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Frozen Physical Model</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Provenance source catalog; runtime append-only.</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source_objects</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Frozen Physical Model</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Operational source provenance; runtime append-only.</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enterprise_entity_resolution_records</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CDD-004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Immutable ERM evaluation record.</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semantic_resolution_records</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CDD-005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Immutable SRM evaluation record.</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assertion_records</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CDD-006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Immutable ASM evaluation record.</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assertion_record_entity_resolution_evidence</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CDD-006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Immutable evidence binding owned by an Assertion Record.</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assertion_record_semantic_resolution_evidence</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CDD-006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Immutable evidence binding owned by an Assertion Record.</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knowledge_evaluation_records</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CDD-007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Immutable KRM evaluation record.</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decision_evaluation_records</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CDD-008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Immutable DRM evaluation record.</w:t>
            </w:r>
          </w:p>
        </w:tc>
      </w:tr>
    </w:tbl>
    <w:p>
      <w:pPr>
        <w:spacing w:after="0"/>
      </w:pPr>
    </w:p>
    <w:p>
      <w:pPr>
        <w:pStyle w:val="Heading1"/>
      </w:pPr>
      <w:r>
        <w:t>6. Externally Determined Currentness Projections</w:t>
      </w:r>
    </w:p>
    <w:p>
      <w:r>
        <w:t>The active/archive fields in these structures are derived implementation state. They do not mark an immutable business record active, archived, superseded, or current. They remain valid only while they can be deterministically rebuilt from the ordered immutable record history required by RFC-011.</w:t>
      </w:r>
    </w:p>
    <w:tbl>
      <w:tblPr>
        <w:tblStyle w:val="TableGrid"/>
        <w:tblW w:type="dxa" w:w="9360"/>
        <w:jc w:val="left"/>
        <w:tblLayout w:type="fixed"/>
        <w:tblLook w:firstColumn="1" w:firstRow="1" w:lastColumn="0" w:lastRow="0" w:noHBand="0" w:noVBand="1" w:val="04A0"/>
        <w:tblInd w:w="120" w:type="dxa"/>
      </w:tblPr>
      <w:tblGrid>
        <w:gridCol w:w="3200"/>
        <w:gridCol w:w="1900"/>
        <w:gridCol w:w="4260"/>
      </w:tblGrid>
      <w:tr>
        <w:trPr>
          <w:cantSplit/>
          <w:tblHeader w:val="true"/>
        </w:trPr>
        <w:tc>
          <w:tcPr>
            <w:tcW w:type="dxa" w:w="320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Table</w:t>
            </w:r>
          </w:p>
        </w:tc>
        <w:tc>
          <w:tcPr>
            <w:tcW w:type="dxa" w:w="190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Origin</w:t>
            </w:r>
          </w:p>
        </w:tc>
        <w:tc>
          <w:tcPr>
            <w:tcW w:type="dxa" w:w="426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Role Basis</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enterprise_entity_resolution_history</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CDD-004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Derived ERM currentness/history projection.</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semantic_resolution_history</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CDD-005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Derived SRM currentness/history projection.</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assertion_record_history</w:t>
            </w:r>
          </w:p>
        </w:tc>
        <w:tc>
          <w:tcPr>
            <w:tcW w:type="dxa" w:w="1900"/>
            <w:vAlign w:val="center"/>
            <w:tcMar>
              <w:top w:w="80" w:type="dxa"/>
              <w:start w:w="120" w:type="dxa"/>
              <w:bottom w:w="80" w:type="dxa"/>
              <w:end w:w="120" w:type="dxa"/>
            </w:tcMar>
          </w:tcPr>
          <w:p>
            <w:pPr>
              <w:spacing w:before="0" w:after="0" w:line="252" w:lineRule="auto"/>
            </w:pPr>
            <w:r>
              <w:rPr>
                <w:rFonts w:ascii="Calibri" w:hAnsi="Calibri"/>
                <w:sz w:val="17"/>
              </w:rPr>
              <w:t>CDD-006 extension</w:t>
            </w:r>
          </w:p>
        </w:tc>
        <w:tc>
          <w:tcPr>
            <w:tcW w:type="dxa" w:w="4260"/>
            <w:vAlign w:val="center"/>
            <w:tcMar>
              <w:top w:w="80" w:type="dxa"/>
              <w:start w:w="120" w:type="dxa"/>
              <w:bottom w:w="80" w:type="dxa"/>
              <w:end w:w="120" w:type="dxa"/>
            </w:tcMar>
          </w:tcPr>
          <w:p>
            <w:pPr>
              <w:spacing w:before="0" w:after="0" w:line="252" w:lineRule="auto"/>
            </w:pPr>
            <w:r>
              <w:rPr>
                <w:rFonts w:ascii="Calibri" w:hAnsi="Calibri"/>
                <w:sz w:val="17"/>
              </w:rPr>
              <w:t>Derived ASM currentness/history projection.</w:t>
            </w:r>
          </w:p>
        </w:tc>
      </w:tr>
    </w:tbl>
    <w:p>
      <w:pPr>
        <w:spacing w:after="0"/>
      </w:pPr>
    </w:p>
    <w:p>
      <w:r>
        <w:t>Knowledge and Decision currentness are currently computed from ordered immutable records and do not require separate persisted projection tables. A future persisted cache would have the same externally determined currentness projection role.</w:t>
      </w:r>
    </w:p>
    <w:p>
      <w:pPr>
        <w:pStyle w:val="Heading1"/>
      </w:pPr>
      <w:r>
        <w:t>7. Superseded or Unused Structures</w:t>
      </w:r>
    </w:p>
    <w:p>
      <w:r>
        <w:t>None. Every table present in the current migrated baseline has an assigned role above. If a future audit identifies an obsolete table, the registry must classify it here before any migration removes or repurposes it. Repurposing a table without governance is prohibited.</w:t>
      </w:r>
    </w:p>
    <w:p>
      <w:pPr>
        <w:pStyle w:val="Heading1"/>
      </w:pPr>
      <w:r>
        <w:t>8. Write Gates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Gate</w:t>
            </w:r>
          </w:p>
        </w:tc>
        <w:tc>
          <w:tcPr>
            <w:tcW w:type="dxa" w:w="706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Mandatory Rule</w:t>
            </w:r>
          </w:p>
        </w:tc>
      </w:tr>
      <w:tr>
        <w:trPr>
          <w:cantSplit/>
        </w:trPr>
        <w:tc>
          <w:tcPr>
            <w:tcW w:type="dxa" w:w="2300"/>
            <w:vAlign w:val="center"/>
            <w:tcMar>
              <w:top w:w="80" w:type="dxa"/>
              <w:start w:w="120" w:type="dxa"/>
              <w:bottom w:w="80" w:type="dxa"/>
              <w:end w:w="120" w:type="dxa"/>
            </w:tcMar>
          </w:tcPr>
          <w:p>
            <w:pPr>
              <w:spacing w:before="0" w:after="0" w:line="252" w:lineRule="auto"/>
            </w:pPr>
            <w:r>
              <w:rPr>
                <w:rFonts w:ascii="Calibri" w:hAnsi="Calibri"/>
                <w:sz w:val="18"/>
              </w:rPr>
              <w:t>Immutable records</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Only the owning capability may append. UPDATE and DELETE are prohibited in runtime paths.</w:t>
            </w:r>
          </w:p>
        </w:tc>
      </w:tr>
      <w:tr>
        <w:trPr>
          <w:cantSplit/>
        </w:trPr>
        <w:tc>
          <w:tcPr>
            <w:tcW w:type="dxa" w:w="2300"/>
            <w:vAlign w:val="center"/>
            <w:tcMar>
              <w:top w:w="80" w:type="dxa"/>
              <w:start w:w="120" w:type="dxa"/>
              <w:bottom w:w="80" w:type="dxa"/>
              <w:end w:w="120" w:type="dxa"/>
            </w:tcMar>
          </w:tcPr>
          <w:p>
            <w:pPr>
              <w:spacing w:before="0" w:after="0" w:line="252" w:lineRule="auto"/>
            </w:pPr>
            <w:r>
              <w:rPr>
                <w:rFonts w:ascii="Calibri" w:hAnsi="Calibri"/>
                <w:sz w:val="18"/>
              </w:rPr>
              <w:t>Evidence bindings</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Created in the same transaction as their owning immutable record and never mutated independently.</w:t>
            </w:r>
          </w:p>
        </w:tc>
      </w:tr>
      <w:tr>
        <w:trPr>
          <w:cantSplit/>
        </w:trPr>
        <w:tc>
          <w:tcPr>
            <w:tcW w:type="dxa" w:w="2300"/>
            <w:vAlign w:val="center"/>
            <w:tcMar>
              <w:top w:w="80" w:type="dxa"/>
              <w:start w:w="120" w:type="dxa"/>
              <w:bottom w:w="80" w:type="dxa"/>
              <w:end w:w="120" w:type="dxa"/>
            </w:tcMar>
          </w:tcPr>
          <w:p>
            <w:pPr>
              <w:spacing w:before="0" w:after="0" w:line="252" w:lineRule="auto"/>
            </w:pPr>
            <w:r>
              <w:rPr>
                <w:rFonts w:ascii="Calibri" w:hAnsi="Calibri"/>
                <w:sz w:val="18"/>
              </w:rPr>
              <w:t>Currentness projections</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Only projection logic may write; state must be disposable and deterministically rebuildable.</w:t>
            </w:r>
          </w:p>
        </w:tc>
      </w:tr>
      <w:tr>
        <w:trPr>
          <w:cantSplit/>
        </w:trPr>
        <w:tc>
          <w:tcPr>
            <w:tcW w:type="dxa" w:w="2300"/>
            <w:vAlign w:val="center"/>
            <w:tcMar>
              <w:top w:w="80" w:type="dxa"/>
              <w:start w:w="120" w:type="dxa"/>
              <w:bottom w:w="80" w:type="dxa"/>
              <w:end w:w="120" w:type="dxa"/>
            </w:tcMar>
          </w:tcPr>
          <w:p>
            <w:pPr>
              <w:spacing w:before="0" w:after="0" w:line="252" w:lineRule="auto"/>
            </w:pPr>
            <w:r>
              <w:rPr>
                <w:rFonts w:ascii="Calibri" w:hAnsi="Calibri"/>
                <w:sz w:val="18"/>
              </w:rPr>
              <w:t>Canonical outcomes</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No new writer until a frozen projection contract identifies source, qualifying outcome, provenance, idempotency, and ownership.</w:t>
            </w:r>
          </w:p>
        </w:tc>
      </w:tr>
      <w:tr>
        <w:trPr>
          <w:cantSplit/>
        </w:trPr>
        <w:tc>
          <w:tcPr>
            <w:tcW w:type="dxa" w:w="2300"/>
            <w:vAlign w:val="center"/>
            <w:tcMar>
              <w:top w:w="80" w:type="dxa"/>
              <w:start w:w="120" w:type="dxa"/>
              <w:bottom w:w="80" w:type="dxa"/>
              <w:end w:w="120" w:type="dxa"/>
            </w:tcMar>
          </w:tcPr>
          <w:p>
            <w:pPr>
              <w:spacing w:before="0" w:after="0" w:line="252" w:lineRule="auto"/>
            </w:pPr>
            <w:r>
              <w:rPr>
                <w:rFonts w:ascii="Calibri" w:hAnsi="Calibri"/>
                <w:sz w:val="18"/>
              </w:rPr>
              <w:t>Bootstrap</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Existing ARCH-004 deterministic bootstrap and referential-integrity support are the only grandfathered canonical writes.</w:t>
            </w:r>
          </w:p>
        </w:tc>
      </w:tr>
      <w:tr>
        <w:trPr>
          <w:cantSplit/>
        </w:trPr>
        <w:tc>
          <w:tcPr>
            <w:tcW w:type="dxa" w:w="2300"/>
            <w:vAlign w:val="center"/>
            <w:tcMar>
              <w:top w:w="80" w:type="dxa"/>
              <w:start w:w="120" w:type="dxa"/>
              <w:bottom w:w="80" w:type="dxa"/>
              <w:end w:w="120" w:type="dxa"/>
            </w:tcMar>
          </w:tcPr>
          <w:p>
            <w:pPr>
              <w:spacing w:before="0" w:after="0" w:line="252" w:lineRule="auto"/>
            </w:pPr>
            <w:r>
              <w:rPr>
                <w:rFonts w:ascii="Calibri" w:hAnsi="Calibri"/>
                <w:sz w:val="18"/>
              </w:rPr>
              <w:t>Generic repositories</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Repository availability does not constitute write authorization. Business/runtime callers remain prohibited unless a governed contract grants authority.</w:t>
            </w:r>
          </w:p>
        </w:tc>
      </w:tr>
      <w:tr>
        <w:trPr>
          <w:cantSplit/>
        </w:trPr>
        <w:tc>
          <w:tcPr>
            <w:tcW w:type="dxa" w:w="2300"/>
            <w:vAlign w:val="center"/>
            <w:tcMar>
              <w:top w:w="80" w:type="dxa"/>
              <w:start w:w="120" w:type="dxa"/>
              <w:bottom w:w="80" w:type="dxa"/>
              <w:end w:w="120" w:type="dxa"/>
            </w:tcMar>
          </w:tcPr>
          <w:p>
            <w:pPr>
              <w:spacing w:before="0" w:after="0" w:line="252" w:lineRule="auto"/>
            </w:pPr>
            <w:r>
              <w:rPr>
                <w:rFonts w:ascii="Calibri" w:hAnsi="Calibri"/>
                <w:sz w:val="18"/>
              </w:rPr>
              <w:t>Superseded structures</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No reads or writes; migration-only handling requires an approved architecture change.</w:t>
            </w:r>
          </w:p>
        </w:tc>
      </w:tr>
    </w:tbl>
    <w:p>
      <w:pPr>
        <w:spacing w:after="0"/>
      </w:pPr>
    </w:p>
    <w:p>
      <w:pPr>
        <w:pStyle w:val="Heading1"/>
      </w:pPr>
      <w:r>
        <w:t>9. Current Implementation Determination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Finding</w:t>
            </w:r>
          </w:p>
        </w:tc>
        <w:tc>
          <w:tcPr>
            <w:tcW w:type="dxa" w:w="666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Determination</w:t>
            </w:r>
          </w:p>
        </w:tc>
      </w:tr>
      <w:tr>
        <w:trPr>
          <w:cantSplit/>
        </w:trPr>
        <w:tc>
          <w:tcPr>
            <w:tcW w:type="dxa" w:w="2700"/>
            <w:vAlign w:val="center"/>
            <w:tcMar>
              <w:top w:w="80" w:type="dxa"/>
              <w:start w:w="120" w:type="dxa"/>
              <w:bottom w:w="80" w:type="dxa"/>
              <w:end w:w="120" w:type="dxa"/>
            </w:tcMar>
          </w:tcPr>
          <w:p>
            <w:pPr>
              <w:spacing w:before="0" w:after="0" w:line="252" w:lineRule="auto"/>
            </w:pPr>
            <w:r>
              <w:rPr>
                <w:rFonts w:ascii="Calibri" w:hAnsi="Calibri"/>
                <w:sz w:val="18"/>
              </w:rPr>
              <w:t>ERM/SRM/ASM history tables</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Valid implementation projections under RFC-011, provided they remain derived and rebuildable.</w:t>
            </w:r>
          </w:p>
        </w:tc>
      </w:tr>
      <w:tr>
        <w:trPr>
          <w:cantSplit/>
        </w:trPr>
        <w:tc>
          <w:tcPr>
            <w:tcW w:type="dxa" w:w="2700"/>
            <w:vAlign w:val="center"/>
            <w:tcMar>
              <w:top w:w="80" w:type="dxa"/>
              <w:start w:w="120" w:type="dxa"/>
              <w:bottom w:w="80" w:type="dxa"/>
              <w:end w:w="120" w:type="dxa"/>
            </w:tcMar>
          </w:tcPr>
          <w:p>
            <w:pPr>
              <w:spacing w:before="0" w:after="0" w:line="252" w:lineRule="auto"/>
            </w:pPr>
            <w:r>
              <w:rPr>
                <w:rFonts w:ascii="Calibri" w:hAnsi="Calibri"/>
                <w:sz w:val="18"/>
              </w:rPr>
              <w:t>KRM/DRM currentness</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Valid query-derived currentness; no mutable business-record state is present.</w:t>
            </w:r>
          </w:p>
        </w:tc>
      </w:tr>
      <w:tr>
        <w:trPr>
          <w:cantSplit/>
        </w:trPr>
        <w:tc>
          <w:tcPr>
            <w:tcW w:type="dxa" w:w="2700"/>
            <w:vAlign w:val="center"/>
            <w:tcMar>
              <w:top w:w="80" w:type="dxa"/>
              <w:start w:w="120" w:type="dxa"/>
              <w:bottom w:w="80" w:type="dxa"/>
              <w:end w:w="120" w:type="dxa"/>
            </w:tcMar>
          </w:tcPr>
          <w:p>
            <w:pPr>
              <w:spacing w:before="0" w:after="0" w:line="252" w:lineRule="auto"/>
            </w:pPr>
            <w:r>
              <w:rPr>
                <w:rFonts w:ascii="Calibri" w:hAnsi="Calibri"/>
                <w:sz w:val="18"/>
              </w:rPr>
              <w:t>Canonical ORM repositories</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Their existence is not authorization. New runtime writes remain blocked by Section 8.</w:t>
            </w:r>
          </w:p>
        </w:tc>
      </w:tr>
      <w:tr>
        <w:trPr>
          <w:cantSplit/>
        </w:trPr>
        <w:tc>
          <w:tcPr>
            <w:tcW w:type="dxa" w:w="2700"/>
            <w:vAlign w:val="center"/>
            <w:tcMar>
              <w:top w:w="80" w:type="dxa"/>
              <w:start w:w="120" w:type="dxa"/>
              <w:bottom w:w="80" w:type="dxa"/>
              <w:end w:w="120" w:type="dxa"/>
            </w:tcMar>
          </w:tcPr>
          <w:p>
            <w:pPr>
              <w:spacing w:before="0" w:after="0" w:line="252" w:lineRule="auto"/>
            </w:pPr>
            <w:r>
              <w:rPr>
                <w:rFonts w:ascii="Calibri" w:hAnsi="Calibri"/>
                <w:sz w:val="18"/>
              </w:rPr>
              <w:t>Canonical cognitive tables</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assertions, knowledges, decisions, and governances remain projection targets only; no current capability may write them under PMM-001.</w:t>
            </w:r>
          </w:p>
        </w:tc>
      </w:tr>
      <w:tr>
        <w:trPr>
          <w:cantSplit/>
        </w:trPr>
        <w:tc>
          <w:tcPr>
            <w:tcW w:type="dxa" w:w="2700"/>
            <w:vAlign w:val="center"/>
            <w:tcMar>
              <w:top w:w="80" w:type="dxa"/>
              <w:start w:w="120" w:type="dxa"/>
              <w:bottom w:w="80" w:type="dxa"/>
              <w:end w:w="120" w:type="dxa"/>
            </w:tcMar>
          </w:tcPr>
          <w:p>
            <w:pPr>
              <w:spacing w:before="0" w:after="0" w:line="252" w:lineRule="auto"/>
            </w:pPr>
            <w:r>
              <w:rPr>
                <w:rFonts w:ascii="Calibri" w:hAnsi="Calibri"/>
                <w:sz w:val="18"/>
              </w:rPr>
              <w:t>Physical Model conformance</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PMM-001 changes no table, column, relationship, constraint, or data type.</w:t>
            </w:r>
          </w:p>
        </w:tc>
      </w:tr>
    </w:tbl>
    <w:p>
      <w:pPr>
        <w:spacing w:after="0"/>
      </w:pPr>
    </w:p>
    <w:p>
      <w:pPr>
        <w:pStyle w:val="Heading1"/>
      </w:pPr>
      <w:r>
        <w:t>10. Projection Contract Minimum</w:t>
      </w:r>
    </w:p>
    <w:p>
      <w:r>
        <w:t>Before any canonical outcome writer is implemented, its governing architecture release must name the target canonical table, immutable source record, qualifying outcome, identity rule, provenance rule, idempotency rule, effective-date rule, authorized owner, transaction boundary, replay behavior, and failure behavior. Absence of any element keeps the target read-only.</w:t>
      </w:r>
    </w:p>
    <w:p>
      <w:pPr>
        <w:pStyle w:val="Heading1"/>
      </w:pPr>
      <w:r>
        <w:t>11. Validation and Drift Check</w:t>
      </w:r>
    </w:p>
    <w:tbl>
      <w:tblPr>
        <w:tblStyle w:val="TableGrid"/>
        <w:tblW w:type="dxa" w:w="9360"/>
        <w:jc w:val="left"/>
        <w:tblLayout w:type="fixed"/>
        <w:tblLook w:firstColumn="1" w:firstRow="1" w:lastColumn="0" w:lastRow="0" w:noHBand="0" w:noVBand="1" w:val="04A0"/>
        <w:tblInd w:w="120" w:type="dxa"/>
      </w:tblPr>
      <w:tblGrid>
        <w:gridCol w:w="6900"/>
        <w:gridCol w:w="2460"/>
      </w:tblGrid>
      <w:tr>
        <w:trPr>
          <w:cantSplit/>
          <w:tblHeader w:val="true"/>
        </w:trPr>
        <w:tc>
          <w:tcPr>
            <w:tcW w:type="dxa" w:w="690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Question</w:t>
            </w:r>
          </w:p>
        </w:tc>
        <w:tc>
          <w:tcPr>
            <w:tcW w:type="dxa" w:w="246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Result</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New business entity introduced?</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No</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Existing entity modified?</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No</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Relationship changed?</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No</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Attribute invented?</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No</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RFC violated?</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No</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Architecture layer bypassed?</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No</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Technology outside TAS-001 introduced?</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No</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Code or migration modified?</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No</w:t>
            </w:r>
          </w:p>
        </w:tc>
      </w:tr>
      <w:tr>
        <w:trPr>
          <w:cantSplit/>
        </w:trPr>
        <w:tc>
          <w:tcPr>
            <w:tcW w:type="dxa" w:w="6900"/>
            <w:vAlign w:val="center"/>
            <w:tcMar>
              <w:top w:w="80" w:type="dxa"/>
              <w:start w:w="120" w:type="dxa"/>
              <w:bottom w:w="80" w:type="dxa"/>
              <w:end w:w="120" w:type="dxa"/>
            </w:tcMar>
          </w:tcPr>
          <w:p>
            <w:pPr>
              <w:spacing w:before="0" w:after="0" w:line="252" w:lineRule="auto"/>
            </w:pPr>
            <w:r>
              <w:rPr>
                <w:rFonts w:ascii="Calibri" w:hAnsi="Calibri"/>
                <w:sz w:val="18"/>
              </w:rPr>
              <w:t>All persisted tables assigned exactly one role?</w:t>
            </w:r>
          </w:p>
        </w:tc>
        <w:tc>
          <w:tcPr>
            <w:tcW w:type="dxa" w:w="2460"/>
            <w:vAlign w:val="center"/>
            <w:tcMar>
              <w:top w:w="80" w:type="dxa"/>
              <w:start w:w="120" w:type="dxa"/>
              <w:bottom w:w="80" w:type="dxa"/>
              <w:end w:w="120" w:type="dxa"/>
            </w:tcMar>
          </w:tcPr>
          <w:p>
            <w:pPr>
              <w:spacing w:before="0" w:after="0" w:line="252" w:lineRule="auto"/>
            </w:pPr>
            <w:r>
              <w:rPr>
                <w:rFonts w:ascii="Calibri" w:hAnsi="Calibri"/>
                <w:sz w:val="18"/>
              </w:rPr>
              <w:t>Yes — 42 of 42</w:t>
            </w:r>
          </w:p>
        </w:tc>
      </w:tr>
    </w:tbl>
    <w:p>
      <w:pPr>
        <w:spacing w:after="0"/>
      </w:pPr>
    </w:p>
    <w:p>
      <w:pPr>
        <w:pStyle w:val="Heading1"/>
      </w:pPr>
      <w:r>
        <w:t>12. Traceability</w:t>
      </w:r>
    </w:p>
    <w:tbl>
      <w:tblPr>
        <w:tblStyle w:val="TableGrid"/>
        <w:tblW w:type="dxa" w:w="9360"/>
        <w:jc w:val="left"/>
        <w:tblLayout w:type="fixed"/>
        <w:tblLook w:firstColumn="1" w:firstRow="1" w:lastColumn="0" w:lastRow="0" w:noHBand="0" w:noVBand="1" w:val="04A0"/>
        <w:tblInd w:w="120" w:type="dxa"/>
      </w:tblPr>
      <w:tblGrid>
        <w:gridCol w:w="3200"/>
        <w:gridCol w:w="6160"/>
      </w:tblGrid>
      <w:tr>
        <w:trPr>
          <w:cantSplit/>
          <w:tblHeader w:val="true"/>
        </w:trPr>
        <w:tc>
          <w:tcPr>
            <w:tcW w:type="dxa" w:w="320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Artifact</w:t>
            </w:r>
          </w:p>
        </w:tc>
        <w:tc>
          <w:tcPr>
            <w:tcW w:type="dxa" w:w="6160"/>
            <w:vAlign w:val="center"/>
            <w:tcMar>
              <w:top w:w="80" w:type="dxa"/>
              <w:start w:w="120" w:type="dxa"/>
              <w:bottom w:w="80" w:type="dxa"/>
              <w:end w:w="120" w:type="dxa"/>
            </w:tcMar>
            <w:shd w:fill="E8EEF5"/>
          </w:tcPr>
          <w:p>
            <w:pPr>
              <w:spacing w:before="0" w:after="0" w:line="252" w:lineRule="auto"/>
            </w:pPr>
            <w:r>
              <w:rPr>
                <w:rFonts w:ascii="Calibri" w:hAnsi="Calibri"/>
                <w:b/>
                <w:color w:val="0B2545"/>
                <w:sz w:val="17"/>
              </w:rPr>
              <w:t>Relevance</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Enterprise Constitution</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Governing constitutional principles.</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EAH-001</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Architecture hierarchy and capability boundaries.</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RFC-010</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Canonical Enterprise Ontology boundary.</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RFC-011</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Immutable record lifecycle and external currentness.</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RFC-013</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Governance Authority and Governance Evaluation separation.</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CAM-001</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Evaluation-record to canonical-outcome mapping.</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CDS-001 v1.3</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Implementation authorization and drift controls.</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ECOM Logical Data Model v1.3</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Canonical entity and relationship authority.</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ECOM Physical Data Model v1.3</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Canonical table and column authority.</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EAD-001 v1.3</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Canonical attribute authority.</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ARCH-001 / ARCH-003 / ARCH-004</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Persistence, bootstrap, and deterministic metadata policy.</w:t>
            </w:r>
          </w:p>
        </w:tc>
      </w:tr>
      <w:tr>
        <w:trPr>
          <w:cantSplit/>
        </w:trPr>
        <w:tc>
          <w:tcPr>
            <w:tcW w:type="dxa" w:w="3200"/>
            <w:vAlign w:val="center"/>
            <w:tcMar>
              <w:top w:w="80" w:type="dxa"/>
              <w:start w:w="120" w:type="dxa"/>
              <w:bottom w:w="80" w:type="dxa"/>
              <w:end w:w="120" w:type="dxa"/>
            </w:tcMar>
          </w:tcPr>
          <w:p>
            <w:pPr>
              <w:spacing w:before="0" w:after="0" w:line="252" w:lineRule="auto"/>
            </w:pPr>
            <w:r>
              <w:rPr>
                <w:rFonts w:ascii="Calibri" w:hAnsi="Calibri"/>
                <w:sz w:val="17"/>
              </w:rPr>
              <w:t>ERM-001 / SRM-001 / ASM-001 / KRM-001 / DRM-001</w:t>
            </w:r>
          </w:p>
        </w:tc>
        <w:tc>
          <w:tcPr>
            <w:tcW w:type="dxa" w:w="6160"/>
            <w:vAlign w:val="center"/>
            <w:tcMar>
              <w:top w:w="80" w:type="dxa"/>
              <w:start w:w="120" w:type="dxa"/>
              <w:bottom w:w="80" w:type="dxa"/>
              <w:end w:w="120" w:type="dxa"/>
            </w:tcMar>
          </w:tcPr>
          <w:p>
            <w:pPr>
              <w:spacing w:before="0" w:after="0" w:line="252" w:lineRule="auto"/>
            </w:pPr>
            <w:r>
              <w:rPr>
                <w:rFonts w:ascii="Calibri" w:hAnsi="Calibri"/>
                <w:sz w:val="17"/>
              </w:rPr>
              <w:t>Immutable capability-record semantics.</w:t>
            </w:r>
          </w:p>
        </w:tc>
      </w:tr>
    </w:tbl>
    <w:p>
      <w:pPr>
        <w:spacing w:after="0"/>
      </w:pPr>
    </w:p>
    <w:p>
      <w:pPr>
        <w:pStyle w:val="Heading1"/>
      </w:pPr>
      <w:r>
        <w:t>13. Revision History</w:t>
      </w:r>
    </w:p>
    <w:tbl>
      <w:tblPr>
        <w:tblStyle w:val="TableGrid"/>
        <w:tblW w:type="dxa" w:w="9360"/>
        <w:jc w:val="left"/>
        <w:tblLayout w:type="fixed"/>
        <w:tblLook w:firstColumn="1" w:firstRow="1" w:lastColumn="0" w:lastRow="0" w:noHBand="0" w:noVBand="1" w:val="04A0"/>
        <w:tblInd w:w="120" w:type="dxa"/>
      </w:tblPr>
      <w:tblGrid>
        <w:gridCol w:w="1200"/>
        <w:gridCol w:w="1700"/>
        <w:gridCol w:w="6460"/>
      </w:tblGrid>
      <w:tr>
        <w:trPr>
          <w:cantSplit/>
          <w:tblHeader w:val="true"/>
        </w:trPr>
        <w:tc>
          <w:tcPr>
            <w:tcW w:type="dxa" w:w="120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Version</w:t>
            </w:r>
          </w:p>
        </w:tc>
        <w:tc>
          <w:tcPr>
            <w:tcW w:type="dxa" w:w="170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Status</w:t>
            </w:r>
          </w:p>
        </w:tc>
        <w:tc>
          <w:tcPr>
            <w:tcW w:type="dxa" w:w="6460"/>
            <w:vAlign w:val="center"/>
            <w:tcMar>
              <w:top w:w="80" w:type="dxa"/>
              <w:start w:w="120" w:type="dxa"/>
              <w:bottom w:w="80" w:type="dxa"/>
              <w:end w:w="120" w:type="dxa"/>
            </w:tcMar>
            <w:shd w:fill="E8EEF5"/>
          </w:tcPr>
          <w:p>
            <w:pPr>
              <w:spacing w:before="0" w:after="0" w:line="252" w:lineRule="auto"/>
            </w:pPr>
            <w:r>
              <w:rPr>
                <w:rFonts w:ascii="Calibri" w:hAnsi="Calibri"/>
                <w:b/>
                <w:color w:val="0B2545"/>
                <w:sz w:val="18"/>
              </w:rPr>
              <w:t>Change</w:t>
            </w:r>
          </w:p>
        </w:tc>
      </w:tr>
      <w:tr>
        <w:trPr>
          <w:cantSplit/>
        </w:trPr>
        <w:tc>
          <w:tcPr>
            <w:tcW w:type="dxa" w:w="1200"/>
            <w:vAlign w:val="center"/>
            <w:tcMar>
              <w:top w:w="80" w:type="dxa"/>
              <w:start w:w="120" w:type="dxa"/>
              <w:bottom w:w="80" w:type="dxa"/>
              <w:end w:w="120" w:type="dxa"/>
            </w:tcMar>
          </w:tcPr>
          <w:p>
            <w:pPr>
              <w:spacing w:before="0" w:after="0" w:line="252" w:lineRule="auto"/>
            </w:pPr>
            <w:r>
              <w:rPr>
                <w:rFonts w:ascii="Calibri" w:hAnsi="Calibri"/>
                <w:sz w:val="18"/>
              </w:rPr>
              <w:t>1.0</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8"/>
              </w:rPr>
              <w:t>FROZEN</w:t>
            </w:r>
          </w:p>
        </w:tc>
        <w:tc>
          <w:tcPr>
            <w:tcW w:type="dxa" w:w="6460"/>
            <w:vAlign w:val="center"/>
            <w:tcMar>
              <w:top w:w="80" w:type="dxa"/>
              <w:start w:w="120" w:type="dxa"/>
              <w:bottom w:w="80" w:type="dxa"/>
              <w:end w:w="120" w:type="dxa"/>
            </w:tcMar>
          </w:tcPr>
          <w:p>
            <w:pPr>
              <w:spacing w:before="0" w:after="0" w:line="252" w:lineRule="auto"/>
            </w:pPr>
            <w:r>
              <w:rPr>
                <w:rFonts w:ascii="Calibri" w:hAnsi="Calibri"/>
                <w:sz w:val="18"/>
              </w:rPr>
              <w:t>Initial governed assignment of all persisted tables to one persistence role.</w:t>
            </w:r>
          </w:p>
        </w:tc>
      </w:tr>
    </w:tbl>
    <w:sectPr w:rsidR="00FC693F" w:rsidRPr="0006063C" w:rsidSect="00034616">
      <w:headerReference w:type="default" r:id="rId9"/>
      <w:footerReference w:type="default" r:id="rId1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6069"/>
        <w:sz w:val="17"/>
      </w:rPr>
      <w:t>CTEC Architecture | PMM-001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960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PMM-001 — Persistence Role Mapping v1.0</dc:title>
  <dc:subject>Governed persistence-role assignment for CTEC tables</dc:subject>
  <dc:creator>python-docx</dc:creator>
  <cp:keywords>CTEC, persistence, RFC-011, CAM-001, Physical Model</cp:keywords>
  <dc:description>generated by python-docx</dc:description>
  <cp:lastModifiedBy/>
  <cp:revision>1</cp:revision>
  <dcterms:created xsi:type="dcterms:W3CDTF">2013-12-23T23:15:00Z</dcterms:created>
  <dcterms:modified xsi:type="dcterms:W3CDTF">2013-12-23T23:15:00Z</dcterms:modified>
  <cp:category/>
</cp:coreProperties>
</file>