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RFC-011 — Immutable Record Lifecycle &amp; Currentness</w:t>
      </w:r>
    </w:p>
    <w:p>
      <w:pPr>
        <w:jc w:val="center"/>
      </w:pPr>
      <w:r>
        <w:rPr>
          <w:b/>
        </w:rPr>
        <w:t>Version 1.0</w:t>
        <w:br/>
        <w:t>Status: FROZEN</w:t>
      </w:r>
    </w:p>
    <w:p>
      <w:pPr>
        <w:pStyle w:val="Heading1"/>
      </w:pPr>
      <w:r>
        <w:t>Purpose</w:t>
      </w:r>
    </w:p>
    <w:p>
      <w:r>
        <w:t>Platform-wide rules for immutable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Statement</w:t>
            </w:r>
          </w:p>
        </w:tc>
      </w:tr>
      <w:tr>
        <w:tc>
          <w:tcPr>
            <w:tcW w:type="dxa" w:w="4320"/>
          </w:tcPr>
          <w:p>
            <w:r>
              <w:t>RFC-011-01</w:t>
            </w:r>
          </w:p>
        </w:tc>
        <w:tc>
          <w:tcPr>
            <w:tcW w:type="dxa" w:w="4320"/>
          </w:tcPr>
          <w:p>
            <w:r>
              <w:t>Records are never updated or deleted.</w:t>
            </w:r>
          </w:p>
        </w:tc>
      </w:tr>
      <w:tr>
        <w:tc>
          <w:tcPr>
            <w:tcW w:type="dxa" w:w="4320"/>
          </w:tcPr>
          <w:p>
            <w:r>
              <w:t>RFC-011-02</w:t>
            </w:r>
          </w:p>
        </w:tc>
        <w:tc>
          <w:tcPr>
            <w:tcW w:type="dxa" w:w="4320"/>
          </w:tcPr>
          <w:p>
            <w:r>
              <w:t>New understanding creates a new record.</w:t>
            </w:r>
          </w:p>
        </w:tc>
      </w:tr>
      <w:tr>
        <w:tc>
          <w:tcPr>
            <w:tcW w:type="dxa" w:w="4320"/>
          </w:tcPr>
          <w:p>
            <w:r>
              <w:t>RFC-011-03</w:t>
            </w:r>
          </w:p>
        </w:tc>
        <w:tc>
          <w:tcPr>
            <w:tcW w:type="dxa" w:w="4320"/>
          </w:tcPr>
          <w:p>
            <w:r>
              <w:t>Currentness is determined outside the record from ordered history.</w:t>
            </w:r>
          </w:p>
        </w:tc>
      </w:tr>
      <w:tr>
        <w:tc>
          <w:tcPr>
            <w:tcW w:type="dxa" w:w="4320"/>
          </w:tcPr>
          <w:p>
            <w:r>
              <w:t>RFC-011-04</w:t>
            </w:r>
          </w:p>
        </w:tc>
        <w:tc>
          <w:tcPr>
            <w:tcW w:type="dxa" w:w="4320"/>
          </w:tcPr>
          <w:p>
            <w:r>
              <w:t>Effective From determines business effectiveness.</w:t>
            </w:r>
          </w:p>
        </w:tc>
      </w:tr>
      <w:tr>
        <w:tc>
          <w:tcPr>
            <w:tcW w:type="dxa" w:w="4320"/>
          </w:tcPr>
          <w:p>
            <w:r>
              <w:t>RFC-011-05</w:t>
            </w:r>
          </w:p>
        </w:tc>
        <w:tc>
          <w:tcPr>
            <w:tcW w:type="dxa" w:w="4320"/>
          </w:tcPr>
          <w:p>
            <w:r>
              <w:t>Produced Timestamp determines creation order.</w:t>
            </w:r>
          </w:p>
        </w:tc>
      </w:tr>
      <w:tr>
        <w:tc>
          <w:tcPr>
            <w:tcW w:type="dxa" w:w="4320"/>
          </w:tcPr>
          <w:p>
            <w:r>
              <w:t>RFC-011-06</w:t>
            </w:r>
          </w:p>
        </w:tc>
        <w:tc>
          <w:tcPr>
            <w:tcW w:type="dxa" w:w="4320"/>
          </w:tcPr>
          <w:p>
            <w:r>
              <w:t>Tie-break: Effective From, then Produced Timestamp, then Record Identifier.</w:t>
            </w:r>
          </w:p>
        </w:tc>
      </w:tr>
      <w:tr>
        <w:tc>
          <w:tcPr>
            <w:tcW w:type="dxa" w:w="4320"/>
          </w:tcPr>
          <w:p>
            <w:r>
              <w:t>RFC-011-07</w:t>
            </w:r>
          </w:p>
        </w:tc>
        <w:tc>
          <w:tcPr>
            <w:tcW w:type="dxa" w:w="4320"/>
          </w:tcPr>
          <w:p>
            <w:r>
              <w:t>Future-effective records are not current until effective.</w:t>
            </w:r>
          </w:p>
        </w:tc>
      </w:tr>
      <w:tr>
        <w:tc>
          <w:tcPr>
            <w:tcW w:type="dxa" w:w="4320"/>
          </w:tcPr>
          <w:p>
            <w:r>
              <w:t>RFC-011-08</w:t>
            </w:r>
          </w:p>
        </w:tc>
        <w:tc>
          <w:tcPr>
            <w:tcW w:type="dxa" w:w="4320"/>
          </w:tcPr>
          <w:p>
            <w:r>
              <w:t>Backdated records participate by ordering rules.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