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ASM-001 — Assertion Business Capability Specification</w:t>
      </w:r>
    </w:p>
    <w:p>
      <w:pPr>
        <w:jc w:val="center"/>
      </w:pPr>
      <w:r>
        <w:t>Version 2.3</w:t>
        <w:br/>
        <w:t>Status: RELEASE CANDIDATE — NOT AUTHORITATIVE</w:t>
        <w:br/>
        <w:t>Release Type: Clarification Release</w:t>
        <w:br/>
        <w:t>Document Type: Business Capability Specification (BCS)</w:t>
        <w:br/>
        <w:t>Authoritative for: CDD-006</w:t>
        <w:br/>
        <w:t>Supersedes: ASM-001 v2.1</w:t>
      </w:r>
    </w:p>
    <w:p>
      <w:pPr>
        <w:pStyle w:val="Heading1"/>
      </w:pPr>
      <w:r>
        <w:t>Release Purpose</w:t>
      </w:r>
    </w:p>
    <w:p>
      <w:pPr/>
      <w:r>
        <w:t>This clarification release reconciles ERM-001 v2.3 and SRM-001 v2.3 dependency versions, while preserving the RFC-011 currentness interpretation. It introduces no new business capability, artifact, entity, attribute, relationship, outcome, or implementation technology.</w:t>
      </w:r>
    </w:p>
    <w:p>
      <w:pPr>
        <w:pStyle w:val="Heading1"/>
      </w:pPr>
      <w:r>
        <w:t>1. Executive Summary</w:t>
      </w:r>
    </w:p>
    <w:p>
      <w:r>
        <w:t>Assertion is the third cognitive capability in CTEC. An Assertion is a governed proposition expressed using the Subject–Predicate–Object (SPO) model. Assertions are immutable business artifacts supported by governed evidence. They are not raw facts, business rules, or enterprise knowledge.</w:t>
      </w:r>
    </w:p>
    <w:p>
      <w:pPr>
        <w:pStyle w:val="Heading1"/>
      </w:pPr>
      <w:r>
        <w:t>2. Business Purpose</w:t>
      </w:r>
    </w:p>
    <w:p>
      <w:r>
        <w:t>Enterprise Entity Resolution establishes identity.</w:t>
      </w:r>
    </w:p>
    <w:p>
      <w:r>
        <w:t>Semantic Resolution establishes enterprise meaning.</w:t>
      </w:r>
    </w:p>
    <w:p>
      <w:r>
        <w:t>Assertion establishes governed propositions that the enterprise may later accept, reject, or institutionalize as knowledge.</w:t>
      </w:r>
    </w:p>
    <w:p>
      <w:pPr>
        <w:pStyle w:val="Heading1"/>
      </w:pPr>
      <w:r>
        <w:t>3. Capability Boundary</w:t>
      </w:r>
    </w:p>
    <w:p>
      <w:pPr>
        <w:pStyle w:val="Heading2"/>
      </w:pPr>
      <w:r>
        <w:t>Owns</w:t>
      </w:r>
    </w:p>
    <w:p>
      <w:r>
        <w:t>• Assertion Proposition</w:t>
      </w:r>
    </w:p>
    <w:p>
      <w:r>
        <w:t>• Assertion Evaluation</w:t>
      </w:r>
    </w:p>
    <w:p>
      <w:r>
        <w:t>• Assertion Outcome</w:t>
      </w:r>
    </w:p>
    <w:p>
      <w:r>
        <w:t>• Business Confidence Classification</w:t>
      </w:r>
    </w:p>
    <w:p>
      <w:r>
        <w:t>• Assertion Explanation</w:t>
      </w:r>
    </w:p>
    <w:p>
      <w:r>
        <w:t>• Assertion Record</w:t>
      </w:r>
    </w:p>
    <w:p>
      <w:pPr>
        <w:pStyle w:val="Heading2"/>
      </w:pPr>
      <w:r>
        <w:t>Does Not Own</w:t>
      </w:r>
    </w:p>
    <w:p>
      <w:r>
        <w:t>• Canonical Enterprise Ontology</w:t>
      </w:r>
    </w:p>
    <w:p>
      <w:r>
        <w:t>• Enterprise Entity Resolution</w:t>
      </w:r>
    </w:p>
    <w:p>
      <w:r>
        <w:t>• Semantic Resolution</w:t>
      </w:r>
    </w:p>
    <w:p>
      <w:r>
        <w:t>• Knowledge</w:t>
      </w:r>
    </w:p>
    <w:p>
      <w:r>
        <w:t>• Decision</w:t>
      </w:r>
    </w:p>
    <w:p>
      <w:r>
        <w:t>• Business Rules</w:t>
      </w:r>
    </w:p>
    <w:p>
      <w:r>
        <w:t>• Governance</w:t>
      </w:r>
    </w:p>
    <w:p>
      <w:r>
        <w:t>• AI Reasoning</w:t>
      </w:r>
    </w:p>
    <w:p>
      <w:pPr>
        <w:pStyle w:val="Heading1"/>
      </w:pPr>
      <w:r>
        <w:t>4. Cognitive Principles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t>ID</w:t>
            </w:r>
          </w:p>
        </w:tc>
        <w:tc>
          <w:tcPr>
            <w:tcW w:type="dxa" w:w="4320"/>
          </w:tcPr>
          <w:p>
            <w:r>
              <w:t>Principle</w:t>
            </w:r>
          </w:p>
        </w:tc>
      </w:tr>
      <w:tr>
        <w:tc>
          <w:tcPr>
            <w:tcW w:type="dxa" w:w="4320"/>
          </w:tcPr>
          <w:p>
            <w:r>
              <w:t>CP-AS-001</w:t>
            </w:r>
          </w:p>
        </w:tc>
        <w:tc>
          <w:tcPr>
            <w:tcW w:type="dxa" w:w="4320"/>
          </w:tcPr>
          <w:p>
            <w:r>
              <w:t>Every Assertion is a governed Subject–Predicate–Object proposition.</w:t>
            </w:r>
          </w:p>
        </w:tc>
      </w:tr>
      <w:tr>
        <w:tc>
          <w:tcPr>
            <w:tcW w:type="dxa" w:w="4320"/>
          </w:tcPr>
          <w:p>
            <w:r>
              <w:t>CP-AS-002</w:t>
            </w:r>
          </w:p>
        </w:tc>
        <w:tc>
          <w:tcPr>
            <w:tcW w:type="dxa" w:w="4320"/>
          </w:tcPr>
          <w:p>
            <w:r>
              <w:t>Assertions are immutable business artifacts.</w:t>
            </w:r>
          </w:p>
        </w:tc>
      </w:tr>
      <w:tr>
        <w:tc>
          <w:tcPr>
            <w:tcW w:type="dxa" w:w="4320"/>
          </w:tcPr>
          <w:p>
            <w:r>
              <w:t>CP-AS-003</w:t>
            </w:r>
          </w:p>
        </w:tc>
        <w:tc>
          <w:tcPr>
            <w:tcW w:type="dxa" w:w="4320"/>
          </w:tcPr>
          <w:p>
            <w:r>
              <w:t>Every Assertion shall be supported by governed evidence.</w:t>
            </w:r>
          </w:p>
        </w:tc>
      </w:tr>
      <w:tr>
        <w:tc>
          <w:tcPr>
            <w:tcW w:type="dxa" w:w="4320"/>
          </w:tcPr>
          <w:p>
            <w:r>
              <w:t>CP-AS-004</w:t>
            </w:r>
          </w:p>
        </w:tc>
        <w:tc>
          <w:tcPr>
            <w:tcW w:type="dxa" w:w="4320"/>
          </w:tcPr>
          <w:p>
            <w:r>
              <w:t>Business Confidence expresses confidence in the proposition, not algorithmic certainty.</w:t>
            </w:r>
          </w:p>
        </w:tc>
      </w:tr>
      <w:tr>
        <w:tc>
          <w:tcPr>
            <w:tcW w:type="dxa" w:w="4320"/>
          </w:tcPr>
          <w:p>
            <w:r>
              <w:t>CP-AS-005</w:t>
            </w:r>
          </w:p>
        </w:tc>
        <w:tc>
          <w:tcPr>
            <w:tcW w:type="dxa" w:w="4320"/>
          </w:tcPr>
          <w:p>
            <w:r>
              <w:t>Human override creates a new Assertion Record and never modifies an existing record.</w:t>
            </w:r>
          </w:p>
        </w:tc>
      </w:tr>
      <w:tr>
        <w:tc>
          <w:tcPr>
            <w:tcW w:type="dxa" w:w="4320"/>
          </w:tcPr>
          <w:p>
            <w:r>
              <w:t>CP-AS-006</w:t>
            </w:r>
          </w:p>
        </w:tc>
        <w:tc>
          <w:tcPr>
            <w:tcW w:type="dxa" w:w="4320"/>
          </w:tcPr>
          <w:p>
            <w:r>
              <w:t>Assertions are explainable, traceable, and independently auditable.</w:t>
            </w:r>
          </w:p>
        </w:tc>
      </w:tr>
    </w:tbl>
    <w:p>
      <w:pPr>
        <w:pStyle w:val="Heading1"/>
      </w:pPr>
      <w:r>
        <w:t>5. Business Vocabulary</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t>Concept</w:t>
            </w:r>
          </w:p>
        </w:tc>
        <w:tc>
          <w:tcPr>
            <w:tcW w:type="dxa" w:w="4320"/>
          </w:tcPr>
          <w:p>
            <w:r>
              <w:t>Definition</w:t>
            </w:r>
          </w:p>
        </w:tc>
      </w:tr>
      <w:tr>
        <w:tc>
          <w:tcPr>
            <w:tcW w:type="dxa" w:w="4320"/>
          </w:tcPr>
          <w:p>
            <w:r>
              <w:t>Subject</w:t>
            </w:r>
          </w:p>
        </w:tc>
        <w:tc>
          <w:tcPr>
            <w:tcW w:type="dxa" w:w="4320"/>
          </w:tcPr>
          <w:p>
            <w:r>
              <w:t>Referenced Enterprise Entity.</w:t>
            </w:r>
          </w:p>
        </w:tc>
      </w:tr>
      <w:tr>
        <w:tc>
          <w:tcPr>
            <w:tcW w:type="dxa" w:w="4320"/>
          </w:tcPr>
          <w:p>
            <w:r>
              <w:t>Predicate</w:t>
            </w:r>
          </w:p>
        </w:tc>
        <w:tc>
          <w:tcPr>
            <w:tcW w:type="dxa" w:w="4320"/>
          </w:tcPr>
          <w:p>
            <w:r>
              <w:t>Governed business relationship or verb.</w:t>
            </w:r>
          </w:p>
        </w:tc>
      </w:tr>
      <w:tr>
        <w:tc>
          <w:tcPr>
            <w:tcW w:type="dxa" w:w="4320"/>
          </w:tcPr>
          <w:p>
            <w:r>
              <w:t>Object</w:t>
            </w:r>
          </w:p>
        </w:tc>
        <w:tc>
          <w:tcPr>
            <w:tcW w:type="dxa" w:w="4320"/>
          </w:tcPr>
          <w:p>
            <w:r>
              <w:t>Referenced Institutional Concept.</w:t>
            </w:r>
          </w:p>
        </w:tc>
      </w:tr>
      <w:tr>
        <w:tc>
          <w:tcPr>
            <w:tcW w:type="dxa" w:w="4320"/>
          </w:tcPr>
          <w:p>
            <w:r>
              <w:t>Assertion</w:t>
            </w:r>
          </w:p>
        </w:tc>
        <w:tc>
          <w:tcPr>
            <w:tcW w:type="dxa" w:w="4320"/>
          </w:tcPr>
          <w:p>
            <w:r>
              <w:t>A Subject–Predicate–Object proposition.</w:t>
            </w:r>
          </w:p>
        </w:tc>
      </w:tr>
      <w:tr>
        <w:tc>
          <w:tcPr>
            <w:tcW w:type="dxa" w:w="4320"/>
          </w:tcPr>
          <w:p>
            <w:r>
              <w:t>Assertion Record</w:t>
            </w:r>
          </w:p>
        </w:tc>
        <w:tc>
          <w:tcPr>
            <w:tcW w:type="dxa" w:w="4320"/>
          </w:tcPr>
          <w:p>
            <w:r>
              <w:t>Immutable business artifact representing one proposition.</w:t>
            </w:r>
          </w:p>
        </w:tc>
      </w:tr>
      <w:tr>
        <w:tc>
          <w:tcPr>
            <w:tcW w:type="dxa" w:w="4320"/>
          </w:tcPr>
          <w:p>
            <w:r>
              <w:t>Supporting Evidence</w:t>
            </w:r>
          </w:p>
        </w:tc>
        <w:tc>
          <w:tcPr>
            <w:tcW w:type="dxa" w:w="4320"/>
          </w:tcPr>
          <w:p>
            <w:r>
              <w:t>Minimum one Enterprise Entity Resolution Record and one Semantic Resolution Record.</w:t>
            </w:r>
          </w:p>
        </w:tc>
      </w:tr>
      <w:tr>
        <w:tc>
          <w:tcPr>
            <w:tcW w:type="dxa" w:w="4320"/>
          </w:tcPr>
          <w:p>
            <w:r>
              <w:t>Business Confidence</w:t>
            </w:r>
          </w:p>
        </w:tc>
        <w:tc>
          <w:tcPr>
            <w:tcW w:type="dxa" w:w="4320"/>
          </w:tcPr>
          <w:p>
            <w:r>
              <w:t>High / Medium / Low.</w:t>
            </w:r>
          </w:p>
        </w:tc>
      </w:tr>
      <w:tr>
        <w:tc>
          <w:tcPr>
            <w:tcW w:type="dxa" w:w="4320"/>
          </w:tcPr>
          <w:p>
            <w:r>
              <w:t>Assertion Outcome</w:t>
            </w:r>
          </w:p>
        </w:tc>
        <w:tc>
          <w:tcPr>
            <w:tcW w:type="dxa" w:w="4320"/>
          </w:tcPr>
          <w:p>
            <w:r>
              <w:t>Established, Candidate or Rejected.</w:t>
            </w:r>
          </w:p>
        </w:tc>
      </w:tr>
    </w:tbl>
    <w:p>
      <w:pPr>
        <w:pStyle w:val="Heading1"/>
      </w:pPr>
      <w:r>
        <w:t>6. Inputs</w:t>
      </w:r>
    </w:p>
    <w:p>
      <w:r>
        <w:t>• Enterprise Entity</w:t>
      </w:r>
    </w:p>
    <w:p>
      <w:r>
        <w:t>• Enterprise Entity Resolution Record</w:t>
      </w:r>
    </w:p>
    <w:p>
      <w:r>
        <w:t>• Semantic Resolution Record</w:t>
      </w:r>
    </w:p>
    <w:p>
      <w:r>
        <w:t>• Business Policies</w:t>
      </w:r>
    </w:p>
    <w:p>
      <w:pPr>
        <w:pStyle w:val="Heading1"/>
      </w:pPr>
      <w:r>
        <w:t>7. Output</w:t>
      </w:r>
    </w:p>
    <w:p>
      <w:r>
        <w:t>• Assertion Record</w:t>
      </w:r>
    </w:p>
    <w:p>
      <w:pPr>
        <w:pStyle w:val="Heading1"/>
      </w:pPr>
      <w:r>
        <w:t>8. Assertion Record Specification</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t>Business Attribute</w:t>
            </w:r>
          </w:p>
        </w:tc>
        <w:tc>
          <w:tcPr>
            <w:tcW w:type="dxa" w:w="4320"/>
          </w:tcPr>
          <w:p>
            <w:r>
              <w:t>Business Definition</w:t>
            </w:r>
          </w:p>
        </w:tc>
      </w:tr>
      <w:tr>
        <w:tc>
          <w:tcPr>
            <w:tcW w:type="dxa" w:w="4320"/>
          </w:tcPr>
          <w:p>
            <w:r>
              <w:t>Record Identifier</w:t>
            </w:r>
          </w:p>
        </w:tc>
        <w:tc>
          <w:tcPr>
            <w:tcW w:type="dxa" w:w="4320"/>
          </w:tcPr>
          <w:p>
            <w:r>
              <w:t>Unique immutable identifier.</w:t>
            </w:r>
          </w:p>
        </w:tc>
      </w:tr>
      <w:tr>
        <w:tc>
          <w:tcPr>
            <w:tcW w:type="dxa" w:w="4320"/>
          </w:tcPr>
          <w:p>
            <w:r>
              <w:t>Subject</w:t>
            </w:r>
          </w:p>
        </w:tc>
        <w:tc>
          <w:tcPr>
            <w:tcW w:type="dxa" w:w="4320"/>
          </w:tcPr>
          <w:p>
            <w:r>
              <w:t>Exactly one Enterprise Entity.</w:t>
            </w:r>
          </w:p>
        </w:tc>
      </w:tr>
      <w:tr>
        <w:tc>
          <w:tcPr>
            <w:tcW w:type="dxa" w:w="4320"/>
          </w:tcPr>
          <w:p>
            <w:r>
              <w:t>Predicate</w:t>
            </w:r>
          </w:p>
        </w:tc>
        <w:tc>
          <w:tcPr>
            <w:tcW w:type="dxa" w:w="4320"/>
          </w:tcPr>
          <w:p>
            <w:r>
              <w:t>Exactly one governed relationship.</w:t>
            </w:r>
          </w:p>
        </w:tc>
      </w:tr>
      <w:tr>
        <w:tc>
          <w:tcPr>
            <w:tcW w:type="dxa" w:w="4320"/>
          </w:tcPr>
          <w:p>
            <w:r>
              <w:t>Object</w:t>
            </w:r>
          </w:p>
        </w:tc>
        <w:tc>
          <w:tcPr>
            <w:tcW w:type="dxa" w:w="4320"/>
          </w:tcPr>
          <w:p>
            <w:r>
              <w:t>Exactly one Institutional Concept.</w:t>
            </w:r>
          </w:p>
        </w:tc>
      </w:tr>
      <w:tr>
        <w:tc>
          <w:tcPr>
            <w:tcW w:type="dxa" w:w="4320"/>
          </w:tcPr>
          <w:p>
            <w:r>
              <w:t>Business Context</w:t>
            </w:r>
          </w:p>
        </w:tc>
        <w:tc>
          <w:tcPr>
            <w:tcW w:type="dxa" w:w="4320"/>
          </w:tcPr>
          <w:p>
            <w:r>
              <w:t>Exactly one governed Context.</w:t>
            </w:r>
          </w:p>
        </w:tc>
      </w:tr>
      <w:tr>
        <w:tc>
          <w:tcPr>
            <w:tcW w:type="dxa" w:w="4320"/>
          </w:tcPr>
          <w:p>
            <w:r>
              <w:t>Assertion Outcome</w:t>
            </w:r>
          </w:p>
        </w:tc>
        <w:tc>
          <w:tcPr>
            <w:tcW w:type="dxa" w:w="4320"/>
          </w:tcPr>
          <w:p>
            <w:r>
              <w:t>Established, Candidate or Rejected.</w:t>
            </w:r>
          </w:p>
        </w:tc>
      </w:tr>
      <w:tr>
        <w:tc>
          <w:tcPr>
            <w:tcW w:type="dxa" w:w="4320"/>
          </w:tcPr>
          <w:p>
            <w:r>
              <w:t>Business Confidence</w:t>
            </w:r>
          </w:p>
        </w:tc>
        <w:tc>
          <w:tcPr>
            <w:tcW w:type="dxa" w:w="4320"/>
          </w:tcPr>
          <w:p>
            <w:r>
              <w:t>High, Medium or Low.</w:t>
            </w:r>
          </w:p>
        </w:tc>
      </w:tr>
      <w:tr>
        <w:tc>
          <w:tcPr>
            <w:tcW w:type="dxa" w:w="4320"/>
          </w:tcPr>
          <w:p>
            <w:r>
              <w:t>Supporting Evidence</w:t>
            </w:r>
          </w:p>
        </w:tc>
        <w:tc>
          <w:tcPr>
            <w:tcW w:type="dxa" w:w="4320"/>
          </w:tcPr>
          <w:p>
            <w:r>
              <w:t>Minimum one Enterprise Entity Resolution Record and one Semantic Resolution Record. Both shall reference the same Enterprise Entity represented by the Subject.</w:t>
            </w:r>
          </w:p>
        </w:tc>
      </w:tr>
      <w:tr>
        <w:tc>
          <w:tcPr>
            <w:tcW w:type="dxa" w:w="4320"/>
          </w:tcPr>
          <w:p>
            <w:r>
              <w:t>Assertion Explanation</w:t>
            </w:r>
          </w:p>
        </w:tc>
        <w:tc>
          <w:tcPr>
            <w:tcW w:type="dxa" w:w="4320"/>
          </w:tcPr>
          <w:p>
            <w:r>
              <w:t>Structured reasons and narrative.</w:t>
            </w:r>
          </w:p>
        </w:tc>
      </w:tr>
      <w:tr>
        <w:tc>
          <w:tcPr>
            <w:tcW w:type="dxa" w:w="4320"/>
          </w:tcPr>
          <w:p>
            <w:r>
              <w:t>Policy Version</w:t>
            </w:r>
          </w:p>
        </w:tc>
        <w:tc>
          <w:tcPr>
            <w:tcW w:type="dxa" w:w="4320"/>
          </w:tcPr>
          <w:p>
            <w:r>
              <w:t>Business policy version.</w:t>
            </w:r>
          </w:p>
        </w:tc>
      </w:tr>
      <w:tr>
        <w:tc>
          <w:tcPr>
            <w:tcW w:type="dxa" w:w="4320"/>
          </w:tcPr>
          <w:p>
            <w:r>
              <w:t>Produced Timestamp</w:t>
            </w:r>
          </w:p>
        </w:tc>
        <w:tc>
          <w:tcPr>
            <w:tcW w:type="dxa" w:w="4320"/>
          </w:tcPr>
          <w:p>
            <w:r>
              <w:t>Creation timestamp.</w:t>
            </w:r>
          </w:p>
        </w:tc>
      </w:tr>
    </w:tbl>
    <w:p>
      <w:pPr>
        <w:pStyle w:val="Heading1"/>
      </w:pPr>
      <w:r>
        <w:t>9. Outcome Rules</w:t>
      </w:r>
    </w:p>
    <w:p>
      <w:r>
        <w:t>Established: Exactly one Subject–Predicate–Object proposition is accepted.</w:t>
      </w:r>
    </w:p>
    <w:p>
      <w:r>
        <w:t>Candidate: One or more candidate Assertion propositions may exist. Each candidate is represented by its own Assertion Record.</w:t>
      </w:r>
    </w:p>
    <w:p>
      <w:r>
        <w:t>Rejected: The rejected proposition is preserved together with its supporting evidence for audit purposes.</w:t>
      </w:r>
    </w:p>
    <w:p>
      <w:r>
        <w:t>Business Confidence is independent of Assertion Outcome.</w:t>
      </w:r>
    </w:p>
    <w:p>
      <w:pPr>
        <w:pStyle w:val="Heading1"/>
      </w:pPr>
      <w:r>
        <w:t>10. Assertion Identity</w:t>
      </w:r>
    </w:p>
    <w:p>
      <w:r>
        <w:t>An Assertion is uniquely identified by the combination of Subject, Predicate, Object and Business Context.</w:t>
      </w:r>
    </w:p>
    <w:p>
      <w:r>
        <w:t>Exactly one evaluation is determined current externally from the ordered immutable Assertion Record history for the same Assertion identity, in accordance with RFC-011.</w:t>
      </w:r>
    </w:p>
    <w:p>
      <w:r>
        <w:t>Historical Assertion Records remain immutable and carry no active, archived, current, or superseded lifecycle state.</w:t>
      </w:r>
    </w:p>
    <w:p>
      <w:pPr>
        <w:pStyle w:val="Heading2"/>
      </w:pPr>
      <w:r>
        <w:t>10.1 RFC-011 Currentness Projection Interpretation</w:t>
      </w:r>
    </w:p>
    <w:p>
      <w:pPr/>
      <w:r>
        <w:t>Existing active/archive persistence structures remain valid only as external implementation projections. They are not fields or lifecycle states of an Assertion Record.</w:t>
      </w:r>
    </w:p>
    <w:p>
      <w:pPr/>
      <w:r>
        <w:t>An active_record_id value is interpreted as the externally selected current-record pointer. archived_record_ids are interpreted as historical-record references. The word archived does not assign archived status to any immutable record.</w:t>
      </w:r>
    </w:p>
    <w:p>
      <w:pPr/>
      <w:r>
        <w:t>These projections SHALL be derivable from ordered immutable record history and SHALL NOT modify any Assertion Record. Replacement is not required by this clarification; future non-breaking implementation revisions SHOULD prefer current_record_id and historical_record_ids terminology.</w:t>
      </w:r>
    </w:p>
    <w:p>
      <w:pPr>
        <w:pStyle w:val="Heading1"/>
      </w:pPr>
      <w:r>
        <w:t>11. Human Override</w:t>
      </w:r>
    </w:p>
    <w:p>
      <w:r>
        <w:t>Authorized users may override Assertion Outcome and Business Confidence by creating a new Assertion Record.</w:t>
      </w:r>
    </w:p>
    <w:p>
      <w:r>
        <w:t>Subject, Predicate and Object are immutable within an Assertion Record. A changed proposition requires a new Assertion Record.</w:t>
      </w:r>
    </w:p>
    <w:p>
      <w:pPr>
        <w:pStyle w:val="Heading1"/>
      </w:pPr>
      <w:r>
        <w:t>12. Illustrative Examples</w:t>
      </w:r>
    </w:p>
    <w:p>
      <w:r>
        <w:t>Subject: Supplier ABC</w:t>
      </w:r>
    </w:p>
    <w:p>
      <w:r>
        <w:t>Predicate: is</w:t>
      </w:r>
    </w:p>
    <w:p>
      <w:r>
        <w:t>Object: Strategic Supplier</w:t>
      </w:r>
    </w:p>
    <w:p>
      <w:r>
        <w:t>Context: Supply Chain</w:t>
      </w:r>
    </w:p>
    <w:p>
      <w:r>
        <w:t>Proposition: Supplier ABC is a Strategic Supplier</w:t>
      </w:r>
    </w:p>
    <w:p>
      <w:pPr>
        <w:pStyle w:val="Heading1"/>
      </w:pPr>
      <w:r>
        <w:t>13. Relationship to Other Capabilities</w:t>
      </w:r>
    </w:p>
    <w:p>
      <w:r>
        <w:t>Consumes Enterprise Entity Resolution Records and Semantic Resolution Records.</w:t>
      </w:r>
    </w:p>
    <w:p>
      <w:r>
        <w:t>Produces Assertion Records consumed by the Knowledge capability.</w:t>
      </w:r>
    </w:p>
    <w:p>
      <w:pPr>
        <w:pStyle w:val="Heading1"/>
      </w:pPr>
      <w:r>
        <w:t>14. Success Criteria</w:t>
      </w:r>
    </w:p>
    <w:p>
      <w:r>
        <w:t>Assertions are represented as governed Subject–Predicate–Object propositions, supported by governed evidence, explainable, historically preserved and independent of implementation technology.</w:t>
      </w:r>
    </w:p>
    <w:p>
      <w:pPr>
        <w:pStyle w:val="Heading1"/>
      </w:pPr>
      <w:r>
        <w:t>15. Traceability</w:t>
      </w:r>
    </w:p>
    <w:p>
      <w:r>
        <w:t>• EAH-001</w:t>
      </w:r>
    </w:p>
    <w:p>
      <w:r>
        <w:t>• RFC-010</w:t>
      </w:r>
    </w:p>
    <w:p>
      <w:pPr/>
      <w:r>
        <w:t>• RFC-011</w:t>
      </w:r>
    </w:p>
    <w:p>
      <w:r>
        <w:t>• CDD-003 Revision 2</w:t>
      </w:r>
    </w:p>
    <w:p>
      <w:r>
        <w:t>• ERM-001 v2.3</w:t>
      </w:r>
    </w:p>
    <w:p>
      <w:r>
        <w:t>• SRM-001 v2.3</w:t>
      </w:r>
    </w:p>
    <w:p>
      <w:r>
        <w:t>• ASM-001 v2.3</w:t>
      </w:r>
    </w:p>
    <w:p>
      <w:pPr>
        <w:pStyle w:val="Heading1"/>
      </w:pPr>
      <w:r>
        <w:t>16. Revision History</w:t>
      </w:r>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t>Version</w:t>
            </w:r>
          </w:p>
        </w:tc>
        <w:tc>
          <w:tcPr>
            <w:tcW w:type="dxa" w:w="2880"/>
          </w:tcPr>
          <w:p>
            <w:r>
              <w:t>2.3</w:t>
            </w:r>
          </w:p>
        </w:tc>
        <w:tc>
          <w:tcPr>
            <w:tcW w:type="dxa" w:w="2880"/>
          </w:tcPr>
          <w:p>
            <w:r>
              <w:t>Summary</w:t>
            </w:r>
          </w:p>
        </w:tc>
      </w:tr>
      <w:tr>
        <w:tc>
          <w:tcPr>
            <w:tcW w:type="dxa" w:w="2880"/>
          </w:tcPr>
          <w:p>
            <w:r>
              <w:t>2.0</w:t>
            </w:r>
          </w:p>
        </w:tc>
        <w:tc>
          <w:tcPr>
            <w:tcW w:type="dxa" w:w="2880"/>
          </w:tcPr>
          <w:p>
            <w:r>
              <w:t>Frozen</w:t>
            </w:r>
          </w:p>
        </w:tc>
        <w:tc>
          <w:tcPr>
            <w:tcW w:type="dxa" w:w="2880"/>
          </w:tcPr>
          <w:p>
            <w:r>
              <w:t>Initial complete Assertion Business Capability Specification</w:t>
            </w:r>
          </w:p>
        </w:tc>
      </w:tr>
      <w:tr>
        <w:tc>
          <w:tcPr>
            <w:tcW w:type="dxa" w:w="2880"/>
          </w:tcPr>
          <w:p>
            <w:r>
              <w:t>2.1</w:t>
            </w:r>
          </w:p>
        </w:tc>
        <w:tc>
          <w:tcPr>
            <w:tcW w:type="dxa" w:w="2880"/>
          </w:tcPr>
          <w:p>
            <w:r>
              <w:t>Frozen</w:t>
            </w:r>
          </w:p>
        </w:tc>
        <w:tc>
          <w:tcPr>
            <w:tcW w:type="dxa" w:w="2880"/>
          </w:tcPr>
          <w:p>
            <w:r>
              <w:t>Aligned currentness and external projection terminology with RFC-011</w:t>
            </w:r>
          </w:p>
        </w:tc>
      </w:tr>
      <w:tr>
        <w:tc>
          <w:tcPr>
            <w:tcW w:type="dxa" w:w="2880"/>
          </w:tcPr>
          <w:p>
            <w:r>
              <w:t>2.2</w:t>
            </w:r>
          </w:p>
        </w:tc>
        <w:tc>
          <w:tcPr>
            <w:tcW w:type="dxa" w:w="2880"/>
          </w:tcPr>
          <w:p>
            <w:r>
              <w:t>FROZEN</w:t>
            </w:r>
          </w:p>
        </w:tc>
        <w:tc>
          <w:tcPr>
            <w:tcW w:type="dxa" w:w="2880"/>
          </w:tcPr>
          <w:p>
            <w:r>
              <w:t>Dependency reconciliation clarification release; updates ERM-001 and SRM-001 references without semantic change.</w:t>
            </w:r>
          </w:p>
        </w:tc>
      </w:tr>
    </w:tbl>
    <w:p>
      <w:r>
        <w:br w:type="page"/>
      </w:r>
    </w:p>
    <w:p>
      <w:pPr>
        <w:pStyle w:val="Heading1"/>
      </w:pPr>
      <w:r>
        <w:t>Clarification Release Amendment — ASM-001 v2.3</w:t>
      </w:r>
    </w:p>
    <w:p>
      <w:r>
        <w:t>Status: RELEASE CANDIDATE — NOT AUTHORITATIVE</w:t>
      </w:r>
    </w:p>
    <w:p>
      <w:pPr>
        <w:pStyle w:val="Heading2"/>
        <w:keepNext/>
      </w:pPr>
      <w:r>
        <w:t>Amendment record</w:t>
      </w:r>
    </w:p>
    <w:tbl>
      <w:tblPr>
        <w:tblStyle w:val="TableGrid"/>
        <w:tblW w:type="auto" w:w="0"/>
        <w:tblLayout w:type="fixed"/>
        <w:tblLook w:firstColumn="1" w:firstRow="1" w:lastColumn="0" w:lastRow="0" w:noHBand="0" w:noVBand="1" w:val="04A0"/>
      </w:tblPr>
      <w:tblGrid>
        <w:gridCol w:w="4320"/>
        <w:gridCol w:w="4320"/>
      </w:tblGrid>
      <w:tr>
        <w:tc>
          <w:tcPr>
            <w:tcW w:type="dxa" w:w="4320"/>
            <w:tcMar>
              <w:top w:w="80" w:type="dxa"/>
              <w:start w:w="120" w:type="dxa"/>
              <w:bottom w:w="80" w:type="dxa"/>
              <w:end w:w="120" w:type="dxa"/>
            </w:tcMar>
          </w:tcPr>
          <w:p>
            <w:pPr>
              <w:spacing w:after="40"/>
            </w:pPr>
            <w:r>
              <w:rPr>
                <w:rFonts w:ascii="Calibri" w:hAnsi="Calibri"/>
                <w:b/>
                <w:sz w:val="18"/>
              </w:rPr>
              <w:t>Item</w:t>
            </w:r>
          </w:p>
        </w:tc>
        <w:tc>
          <w:tcPr>
            <w:tcW w:type="dxa" w:w="4320"/>
            <w:tcMar>
              <w:top w:w="80" w:type="dxa"/>
              <w:start w:w="120" w:type="dxa"/>
              <w:bottom w:w="80" w:type="dxa"/>
              <w:end w:w="120" w:type="dxa"/>
            </w:tcMar>
          </w:tcPr>
          <w:p>
            <w:pPr>
              <w:spacing w:after="40"/>
            </w:pPr>
            <w:r>
              <w:rPr>
                <w:rFonts w:ascii="Calibri" w:hAnsi="Calibri"/>
                <w:b/>
                <w:sz w:val="18"/>
              </w:rPr>
              <w:t>Value</w:t>
            </w:r>
          </w:p>
        </w:tc>
      </w:tr>
      <w:tr>
        <w:tc>
          <w:tcPr>
            <w:tcW w:type="dxa" w:w="4320"/>
            <w:tcMar>
              <w:top w:w="80" w:type="dxa"/>
              <w:start w:w="120" w:type="dxa"/>
              <w:bottom w:w="80" w:type="dxa"/>
              <w:end w:w="120" w:type="dxa"/>
            </w:tcMar>
          </w:tcPr>
          <w:p>
            <w:pPr>
              <w:spacing w:after="40"/>
            </w:pPr>
            <w:r>
              <w:rPr>
                <w:rFonts w:ascii="Calibri" w:hAnsi="Calibri"/>
                <w:sz w:val="18"/>
              </w:rPr>
              <w:t>Governing artifact</w:t>
            </w:r>
          </w:p>
        </w:tc>
        <w:tc>
          <w:tcPr>
            <w:tcW w:type="dxa" w:w="4320"/>
            <w:tcMar>
              <w:top w:w="80" w:type="dxa"/>
              <w:start w:w="120" w:type="dxa"/>
              <w:bottom w:w="80" w:type="dxa"/>
              <w:end w:w="120" w:type="dxa"/>
            </w:tcMar>
          </w:tcPr>
          <w:p>
            <w:pPr>
              <w:spacing w:after="40"/>
            </w:pPr>
            <w:r>
              <w:rPr>
                <w:rFonts w:ascii="Calibri" w:hAnsi="Calibri"/>
                <w:sz w:val="18"/>
              </w:rPr>
              <w:t>ASM-001 v2.2</w:t>
            </w:r>
          </w:p>
        </w:tc>
      </w:tr>
      <w:tr>
        <w:tc>
          <w:tcPr>
            <w:tcW w:type="dxa" w:w="4320"/>
            <w:tcMar>
              <w:top w:w="80" w:type="dxa"/>
              <w:start w:w="120" w:type="dxa"/>
              <w:bottom w:w="80" w:type="dxa"/>
              <w:end w:w="120" w:type="dxa"/>
            </w:tcMar>
          </w:tcPr>
          <w:p>
            <w:pPr>
              <w:spacing w:after="40"/>
            </w:pPr>
            <w:r>
              <w:rPr>
                <w:rFonts w:ascii="Calibri" w:hAnsi="Calibri"/>
                <w:sz w:val="18"/>
              </w:rPr>
              <w:t>Exact sections affected</w:t>
            </w:r>
          </w:p>
        </w:tc>
        <w:tc>
          <w:tcPr>
            <w:tcW w:type="dxa" w:w="4320"/>
            <w:tcMar>
              <w:top w:w="80" w:type="dxa"/>
              <w:start w:w="120" w:type="dxa"/>
              <w:bottom w:w="80" w:type="dxa"/>
              <w:end w:w="120" w:type="dxa"/>
            </w:tcMar>
          </w:tcPr>
          <w:p>
            <w:pPr>
              <w:spacing w:after="40"/>
            </w:pPr>
            <w:r>
              <w:rPr>
                <w:rFonts w:ascii="Calibri" w:hAnsi="Calibri"/>
                <w:sz w:val="18"/>
              </w:rPr>
              <w:t>3 Capability Boundary; 6 Inputs; 9 Outcome Rules; 13 Relationships; 15 Traceability</w:t>
            </w:r>
          </w:p>
        </w:tc>
      </w:tr>
      <w:tr>
        <w:tc>
          <w:tcPr>
            <w:tcW w:type="dxa" w:w="4320"/>
            <w:tcMar>
              <w:top w:w="80" w:type="dxa"/>
              <w:start w:w="120" w:type="dxa"/>
              <w:bottom w:w="80" w:type="dxa"/>
              <w:end w:w="120" w:type="dxa"/>
            </w:tcMar>
          </w:tcPr>
          <w:p>
            <w:pPr>
              <w:spacing w:after="40"/>
            </w:pPr>
            <w:r>
              <w:rPr>
                <w:rFonts w:ascii="Calibri" w:hAnsi="Calibri"/>
                <w:sz w:val="18"/>
              </w:rPr>
              <w:t>Change type</w:t>
            </w:r>
          </w:p>
        </w:tc>
        <w:tc>
          <w:tcPr>
            <w:tcW w:type="dxa" w:w="4320"/>
            <w:tcMar>
              <w:top w:w="80" w:type="dxa"/>
              <w:start w:w="120" w:type="dxa"/>
              <w:bottom w:w="80" w:type="dxa"/>
              <w:end w:w="120" w:type="dxa"/>
            </w:tcMar>
          </w:tcPr>
          <w:p>
            <w:pPr>
              <w:spacing w:after="40"/>
            </w:pPr>
            <w:r>
              <w:rPr>
                <w:rFonts w:ascii="Calibri" w:hAnsi="Calibri"/>
                <w:sz w:val="18"/>
              </w:rPr>
              <w:t>Clarifying; no Assertion Outcome added</w:t>
            </w:r>
          </w:p>
        </w:tc>
      </w:tr>
      <w:tr>
        <w:tc>
          <w:tcPr>
            <w:tcW w:type="dxa" w:w="4320"/>
            <w:tcMar>
              <w:top w:w="80" w:type="dxa"/>
              <w:start w:w="120" w:type="dxa"/>
              <w:bottom w:w="80" w:type="dxa"/>
              <w:end w:w="120" w:type="dxa"/>
            </w:tcMar>
          </w:tcPr>
          <w:p>
            <w:pPr>
              <w:spacing w:after="40"/>
            </w:pPr>
            <w:r>
              <w:rPr>
                <w:rFonts w:ascii="Calibri" w:hAnsi="Calibri"/>
                <w:sz w:val="18"/>
              </w:rPr>
              <w:t>Downstream dependency</w:t>
            </w:r>
          </w:p>
        </w:tc>
        <w:tc>
          <w:tcPr>
            <w:tcW w:type="dxa" w:w="4320"/>
            <w:tcMar>
              <w:top w:w="80" w:type="dxa"/>
              <w:start w:w="120" w:type="dxa"/>
              <w:bottom w:w="80" w:type="dxa"/>
              <w:end w:w="120" w:type="dxa"/>
            </w:tcMar>
          </w:tcPr>
          <w:p>
            <w:pPr>
              <w:spacing w:after="40"/>
            </w:pPr>
            <w:r>
              <w:rPr>
                <w:rFonts w:ascii="Calibri" w:hAnsi="Calibri"/>
                <w:sz w:val="18"/>
              </w:rPr>
              <w:t>RFC-014, CIM-001, future CDD-011</w:t>
            </w:r>
          </w:p>
        </w:tc>
      </w:tr>
    </w:tbl>
    <w:p>
      <w:pPr>
        <w:pStyle w:val="Heading2"/>
        <w:keepNext/>
      </w:pPr>
      <w:r>
        <w:t>Current authoritative language</w:t>
      </w:r>
    </w:p>
    <w:p>
      <w:r>
        <w:t>“Assertion Outcome — Established, Candidate or Rejected.”</w:t>
      </w:r>
    </w:p>
    <w:p>
      <w:r>
        <w:t>“Established: Exactly one Subject–Predicate–Object proposition is accepted. Candidate: One or more candidate Assertion propositions may exist. Each candidate is represented by its own Assertion Record. Rejected: The rejected proposition is preserved together with its supporting evidence for audit purposes.”</w:t>
      </w:r>
    </w:p>
    <w:p>
      <w:pPr>
        <w:pStyle w:val="Heading2"/>
        <w:keepNext/>
      </w:pPr>
      <w:r>
        <w:t>Proposed additive language</w:t>
      </w:r>
    </w:p>
    <w:p>
      <w:r>
        <w:t>Before Assertion Evaluation begins, the invoking integration must demonstrate that the minimum governed evidence required by ASM is present and non-conflicting. For the RFC-014 supplier-risk vertical slice, missing or conflicting evidence produces the integration determination INDETERMINATE and stops before ASM invocation.</w:t>
      </w:r>
    </w:p>
    <w:p>
      <w:r>
        <w:t>INDETERMINATE is not an Assertion Outcome, does not create an Assertion Record, and does not change the authorized outcomes Established, Candidate, or Rejected. It carries no canonical or institutional standing. ASM continues to require at least one Enterprise Entity Resolution Record and one Semantic Resolution Record referencing the Assertion subject.</w:t>
      </w:r>
    </w:p>
    <w:p>
      <w:r>
        <w:t>Add RFC-014 and CIM-001 to traceability only after those artifacts become frozen and authoritative.</w:t>
      </w:r>
    </w:p>
    <w:p>
      <w:pPr>
        <w:pStyle w:val="Heading2"/>
        <w:keepNext/>
      </w:pPr>
      <w:r>
        <w:t>Reason</w:t>
      </w:r>
    </w:p>
    <w:p>
      <w:r>
        <w:t>This preserves ASM's closed outcome vocabulary while preventing missing or conflicting evidence from being misrepresented as Candidate, Rejected, or a technical failure.</w:t>
      </w:r>
    </w:p>
    <w:p>
      <w:pPr>
        <w:pStyle w:val="Heading2"/>
        <w:keepNext/>
      </w:pPr>
      <w:r>
        <w:t>Compatibility</w:t>
      </w:r>
    </w:p>
    <w:p>
      <w:r>
        <w:t>Backward compatible. Existing ASM records, services, persistence, and outcomes do not change. Integrations that do not use RFC-014 are unaffected.</w:t>
      </w:r>
    </w:p>
    <w:p>
      <w:pPr>
        <w:pStyle w:val="Heading2"/>
        <w:keepNext/>
      </w:pPr>
      <w:r>
        <w:t>Governance actions</w:t>
      </w:r>
    </w:p>
    <w:p>
      <w:r>
        <w:t>After approval: publish ASM-001 v2.3 as a clarification release; supersede v2.2; update Registry and dependency edges; regenerate checksums and manifest; run consistency, drift, and release-readiness gates.</w:t>
      </w:r>
    </w:p>
    <w:p>
      <w:pPr>
        <w:pStyle w:val="Heading2"/>
        <w:keepNext/>
      </w:pPr>
      <w:r>
        <w:t>Validation and rollback</w:t>
      </w:r>
    </w:p>
    <w:p>
      <w:r>
        <w:t>Validate that no ASM model, enum, table, or migration adds INDETERMINATE; verify pre-ASM tests stop before service invocation. Rollback by restoring v2.2 as current and removing RFC-014/CIM-001 dependency edges; no data rollback is required.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Governance review copy — authority is assigned only by architecture/INDEX.md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A5A5A"/>
        <w:sz w:val="16"/>
      </w:rPr>
      <w:t>CTEC Architecture | ASM-001 v2.3 | RELEASE CANDIDATE — NOT AUTHORITATIVE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Dependency reconciliation clarification: SRM-001 v2.2 compatibility confirmed; Assertion semantics unchanged.</dc:description>
  <cp:lastModifiedBy/>
  <cp:revision>1</cp:revision>
  <dcterms:created xsi:type="dcterms:W3CDTF">2013-12-23T23:15:00Z</dcterms:created>
  <dcterms:modified xsi:type="dcterms:W3CDTF">2013-12-23T23:15:00Z</dcterms:modified>
  <cp:category/>
  <cp:version>2.2</cp:version>
</cp:coreProperties>
</file>