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80"/>
        <w:jc w:val="center"/>
        <w:pBdr>
          <w:bottom w:val="single" w:sz="12" w:space="12" w:color="4472C4"/>
        </w:pBdr>
      </w:pPr>
      <w:r>
        <w:rPr>
          <w:rFonts w:ascii="Aptos" w:hAnsi="Aptos"/>
          <w:b w:val="0"/>
          <w:color w:val="1F4E79"/>
          <w:sz w:val="52"/>
        </w:rPr>
        <w:t>EIC-001 — Cognitive Engine</w:t>
        <w:br/>
        <w:t>Invocation Architecture</w:t>
      </w:r>
    </w:p>
    <w:p>
      <w:pPr>
        <w:spacing w:after="40"/>
        <w:jc w:val="center"/>
      </w:pPr>
      <w:r>
        <w:t>Version 1.3</w:t>
      </w:r>
    </w:p>
    <w:p>
      <w:pPr>
        <w:spacing w:after="40"/>
        <w:jc w:val="center"/>
      </w:pPr>
      <w:r>
        <w:rPr>
          <w:rFonts w:ascii="Georgia" w:hAnsi="Georgia"/>
          <w:b/>
          <w:sz w:val="22"/>
        </w:rPr>
        <w:t>Status: RELEASE CANDIDATE — NOT AUTHORITATIVE</w:t>
      </w:r>
    </w:p>
    <w:p>
      <w:pPr>
        <w:spacing w:after="40"/>
        <w:jc w:val="center"/>
      </w:pPr>
      <w:r>
        <w:rPr>
          <w:rFonts w:ascii="Georgia" w:hAnsi="Georgia"/>
          <w:b/>
          <w:sz w:val="22"/>
        </w:rPr>
        <w:t>Document Type: Runtime Architecture Specification</w:t>
      </w:r>
    </w:p>
    <w:p>
      <w:pPr>
        <w:spacing w:after="40"/>
        <w:jc w:val="center"/>
      </w:pPr>
      <w:r>
        <w:rPr>
          <w:rFonts w:ascii="Georgia" w:hAnsi="Georgia"/>
          <w:b/>
          <w:sz w:val="22"/>
        </w:rPr>
        <w:t>Authority: Enterprise Runtime Architecture</w:t>
      </w:r>
    </w:p>
    <w:p>
      <w:pPr>
        <w:spacing w:after="40"/>
        <w:jc w:val="center"/>
      </w:pPr>
      <w:r>
        <w:rPr>
          <w:rFonts w:ascii="Georgia" w:hAnsi="Georgia"/>
          <w:b/>
          <w:sz w:val="22"/>
        </w:rPr>
        <w:t>Owner: CTEC Architecture</w:t>
      </w:r>
    </w:p>
    <w:p>
      <w:pPr>
        <w:pStyle w:val="Heading1"/>
      </w:pPr>
      <w:r>
        <w:t>Document Classification</w:t>
      </w:r>
    </w:p>
    <w:tbl>
      <w:tblPr>
        <w:tblStyle w:val="TableGrid"/>
        <w:tblW w:type="auto" w:w="0"/>
        <w:jc w:val="center"/>
        <w:tblLayout w:type="fixed"/>
        <w:tblLook w:firstColumn="1" w:firstRow="1" w:lastColumn="0" w:lastRow="0" w:noHBand="0" w:noVBand="1" w:val="04A0"/>
      </w:tblPr>
      <w:tblGrid>
        <w:gridCol w:w="4320"/>
        <w:gridCol w:w="4320"/>
      </w:tblGrid>
      <w:tr>
        <w:trPr>
          <w:tblHeader/>
        </w:trPr>
        <w:tc>
          <w:tcPr>
            <w:tcW w:type="dxa" w:w="2880"/>
            <w:shd w:fill="D9E2F3"/>
            <w:vAlign w:val="center"/>
            <w:tcMar>
              <w:top w:w="90" w:type="dxa"/>
              <w:start w:w="110" w:type="dxa"/>
              <w:bottom w:w="90" w:type="dxa"/>
              <w:end w:w="110" w:type="dxa"/>
            </w:tcMar>
          </w:tcPr>
          <w:p>
            <w:r/>
            <w:r>
              <w:rPr>
                <w:rFonts w:ascii="Georgia" w:hAnsi="Georgia"/>
                <w:b/>
                <w:sz w:val="22"/>
              </w:rPr>
              <w:t>Item</w:t>
            </w:r>
          </w:p>
        </w:tc>
        <w:tc>
          <w:tcPr>
            <w:tcW w:type="dxa" w:w="5760"/>
            <w:shd w:fill="D9E2F3"/>
            <w:vAlign w:val="center"/>
            <w:tcMar>
              <w:top w:w="90" w:type="dxa"/>
              <w:start w:w="110" w:type="dxa"/>
              <w:bottom w:w="90" w:type="dxa"/>
              <w:end w:w="110" w:type="dxa"/>
            </w:tcMar>
          </w:tcPr>
          <w:p>
            <w:r/>
            <w:r>
              <w:rPr>
                <w:rFonts w:ascii="Georgia" w:hAnsi="Georgia"/>
                <w:b/>
                <w:sz w:val="22"/>
              </w:rPr>
              <w:t>Value</w:t>
            </w:r>
          </w:p>
        </w:tc>
      </w:tr>
      <w:tr>
        <w:tc>
          <w:tcPr>
            <w:tcW w:type="dxa" w:w="2880"/>
            <w:vAlign w:val="center"/>
            <w:tcMar>
              <w:top w:w="90" w:type="dxa"/>
              <w:start w:w="110" w:type="dxa"/>
              <w:bottom w:w="90" w:type="dxa"/>
              <w:end w:w="110" w:type="dxa"/>
            </w:tcMar>
          </w:tcPr>
          <w:p>
            <w:r/>
            <w:r>
              <w:rPr>
                <w:rFonts w:ascii="Georgia" w:hAnsi="Georgia"/>
                <w:b w:val="0"/>
                <w:sz w:val="22"/>
              </w:rPr>
              <w:t>Document ID</w:t>
            </w:r>
          </w:p>
        </w:tc>
        <w:tc>
          <w:tcPr>
            <w:tcW w:type="dxa" w:w="5760"/>
            <w:vAlign w:val="center"/>
            <w:tcMar>
              <w:top w:w="90" w:type="dxa"/>
              <w:start w:w="110" w:type="dxa"/>
              <w:bottom w:w="90" w:type="dxa"/>
              <w:end w:w="110" w:type="dxa"/>
            </w:tcMar>
          </w:tcPr>
          <w:p>
            <w:r/>
            <w:r>
              <w:rPr>
                <w:rFonts w:ascii="Georgia" w:hAnsi="Georgia"/>
                <w:b w:val="0"/>
                <w:sz w:val="22"/>
              </w:rPr>
              <w:t>EIC-001</w:t>
            </w:r>
          </w:p>
        </w:tc>
      </w:tr>
      <w:tr>
        <w:tc>
          <w:tcPr>
            <w:tcW w:type="dxa" w:w="2880"/>
            <w:vAlign w:val="center"/>
            <w:tcMar>
              <w:top w:w="90" w:type="dxa"/>
              <w:start w:w="110" w:type="dxa"/>
              <w:bottom w:w="90" w:type="dxa"/>
              <w:end w:w="110" w:type="dxa"/>
            </w:tcMar>
          </w:tcPr>
          <w:p>
            <w:r/>
            <w:r>
              <w:rPr>
                <w:rFonts w:ascii="Georgia" w:hAnsi="Georgia"/>
                <w:b w:val="0"/>
                <w:sz w:val="22"/>
              </w:rPr>
              <w:t>Title</w:t>
            </w:r>
          </w:p>
        </w:tc>
        <w:tc>
          <w:tcPr>
            <w:tcW w:type="dxa" w:w="5760"/>
            <w:vAlign w:val="center"/>
            <w:tcMar>
              <w:top w:w="90" w:type="dxa"/>
              <w:start w:w="110" w:type="dxa"/>
              <w:bottom w:w="90" w:type="dxa"/>
              <w:end w:w="110" w:type="dxa"/>
            </w:tcMar>
          </w:tcPr>
          <w:p>
            <w:r/>
            <w:r>
              <w:rPr>
                <w:rFonts w:ascii="Georgia" w:hAnsi="Georgia"/>
                <w:b w:val="0"/>
                <w:sz w:val="22"/>
              </w:rPr>
              <w:t>Cognitive Engine Invocation Architecture</w:t>
            </w:r>
          </w:p>
        </w:tc>
      </w:tr>
      <w:tr>
        <w:tc>
          <w:tcPr>
            <w:tcW w:type="dxa" w:w="2880"/>
            <w:vAlign w:val="center"/>
            <w:tcMar>
              <w:top w:w="90" w:type="dxa"/>
              <w:start w:w="110" w:type="dxa"/>
              <w:bottom w:w="90" w:type="dxa"/>
              <w:end w:w="110" w:type="dxa"/>
            </w:tcMar>
          </w:tcPr>
          <w:p>
            <w:r/>
            <w:r>
              <w:rPr>
                <w:rFonts w:ascii="Georgia" w:hAnsi="Georgia"/>
                <w:b w:val="0"/>
                <w:sz w:val="22"/>
              </w:rPr>
              <w:t>Version</w:t>
            </w:r>
          </w:p>
        </w:tc>
        <w:tc>
          <w:tcPr>
            <w:tcW w:type="dxa" w:w="5760"/>
            <w:vAlign w:val="center"/>
            <w:tcMar>
              <w:top w:w="90" w:type="dxa"/>
              <w:start w:w="110" w:type="dxa"/>
              <w:bottom w:w="90" w:type="dxa"/>
              <w:end w:w="110" w:type="dxa"/>
            </w:tcMar>
          </w:tcPr>
          <w:p>
            <w:r>
              <w:t>1.3</w:t>
            </w:r>
          </w:p>
        </w:tc>
      </w:tr>
      <w:tr>
        <w:tc>
          <w:tcPr>
            <w:tcW w:type="dxa" w:w="2880"/>
            <w:vAlign w:val="center"/>
            <w:tcMar>
              <w:top w:w="90" w:type="dxa"/>
              <w:start w:w="110" w:type="dxa"/>
              <w:bottom w:w="90" w:type="dxa"/>
              <w:end w:w="110" w:type="dxa"/>
            </w:tcMar>
          </w:tcPr>
          <w:p>
            <w:r/>
            <w:r>
              <w:rPr>
                <w:rFonts w:ascii="Georgia" w:hAnsi="Georgia"/>
                <w:b w:val="0"/>
                <w:sz w:val="22"/>
              </w:rPr>
              <w:t>Status</w:t>
            </w:r>
          </w:p>
        </w:tc>
        <w:tc>
          <w:tcPr>
            <w:tcW w:type="dxa" w:w="5760"/>
            <w:vAlign w:val="center"/>
            <w:tcMar>
              <w:top w:w="90" w:type="dxa"/>
              <w:start w:w="110" w:type="dxa"/>
              <w:bottom w:w="90" w:type="dxa"/>
              <w:end w:w="110" w:type="dxa"/>
            </w:tcMar>
          </w:tcPr>
          <w:p>
            <w:r>
              <w:t>RELEASE CANDIDATE — NOT AUTHORITATIVE</w:t>
            </w:r>
          </w:p>
        </w:tc>
      </w:tr>
      <w:tr>
        <w:tc>
          <w:tcPr>
            <w:tcW w:type="dxa" w:w="2880"/>
            <w:vAlign w:val="center"/>
            <w:tcMar>
              <w:top w:w="90" w:type="dxa"/>
              <w:start w:w="110" w:type="dxa"/>
              <w:bottom w:w="90" w:type="dxa"/>
              <w:end w:w="110" w:type="dxa"/>
            </w:tcMar>
          </w:tcPr>
          <w:p>
            <w:r/>
            <w:r>
              <w:rPr>
                <w:rFonts w:ascii="Georgia" w:hAnsi="Georgia"/>
                <w:b w:val="0"/>
                <w:sz w:val="22"/>
              </w:rPr>
              <w:t>Document Type</w:t>
            </w:r>
          </w:p>
        </w:tc>
        <w:tc>
          <w:tcPr>
            <w:tcW w:type="dxa" w:w="5760"/>
            <w:vAlign w:val="center"/>
            <w:tcMar>
              <w:top w:w="90" w:type="dxa"/>
              <w:start w:w="110" w:type="dxa"/>
              <w:bottom w:w="90" w:type="dxa"/>
              <w:end w:w="110" w:type="dxa"/>
            </w:tcMar>
          </w:tcPr>
          <w:p>
            <w:r/>
            <w:r>
              <w:rPr>
                <w:rFonts w:ascii="Georgia" w:hAnsi="Georgia"/>
                <w:b w:val="0"/>
                <w:sz w:val="22"/>
              </w:rPr>
              <w:t>Runtime Architecture Specification</w:t>
            </w:r>
          </w:p>
        </w:tc>
      </w:tr>
      <w:tr>
        <w:tc>
          <w:tcPr>
            <w:tcW w:type="dxa" w:w="2880"/>
            <w:vAlign w:val="center"/>
            <w:tcMar>
              <w:top w:w="90" w:type="dxa"/>
              <w:start w:w="110" w:type="dxa"/>
              <w:bottom w:w="90" w:type="dxa"/>
              <w:end w:w="110" w:type="dxa"/>
            </w:tcMar>
          </w:tcPr>
          <w:p>
            <w:r/>
            <w:r>
              <w:rPr>
                <w:rFonts w:ascii="Georgia" w:hAnsi="Georgia"/>
                <w:b w:val="0"/>
                <w:sz w:val="22"/>
              </w:rPr>
              <w:t>Authority</w:t>
            </w:r>
          </w:p>
        </w:tc>
        <w:tc>
          <w:tcPr>
            <w:tcW w:type="dxa" w:w="5760"/>
            <w:vAlign w:val="center"/>
            <w:tcMar>
              <w:top w:w="90" w:type="dxa"/>
              <w:start w:w="110" w:type="dxa"/>
              <w:bottom w:w="90" w:type="dxa"/>
              <w:end w:w="110" w:type="dxa"/>
            </w:tcMar>
          </w:tcPr>
          <w:p>
            <w:r/>
            <w:r>
              <w:rPr>
                <w:rFonts w:ascii="Georgia" w:hAnsi="Georgia"/>
                <w:b w:val="0"/>
                <w:sz w:val="22"/>
              </w:rPr>
              <w:t>Enterprise Runtime Architecture</w:t>
            </w:r>
          </w:p>
        </w:tc>
      </w:tr>
      <w:tr>
        <w:tc>
          <w:tcPr>
            <w:tcW w:type="dxa" w:w="2880"/>
            <w:vAlign w:val="center"/>
            <w:tcMar>
              <w:top w:w="90" w:type="dxa"/>
              <w:start w:w="110" w:type="dxa"/>
              <w:bottom w:w="90" w:type="dxa"/>
              <w:end w:w="110" w:type="dxa"/>
            </w:tcMar>
          </w:tcPr>
          <w:p>
            <w:r/>
            <w:r>
              <w:rPr>
                <w:rFonts w:ascii="Georgia" w:hAnsi="Georgia"/>
                <w:b w:val="0"/>
                <w:sz w:val="22"/>
              </w:rPr>
              <w:t>Owner</w:t>
            </w:r>
          </w:p>
        </w:tc>
        <w:tc>
          <w:tcPr>
            <w:tcW w:type="dxa" w:w="5760"/>
            <w:vAlign w:val="center"/>
            <w:tcMar>
              <w:top w:w="90" w:type="dxa"/>
              <w:start w:w="110" w:type="dxa"/>
              <w:bottom w:w="90" w:type="dxa"/>
              <w:end w:w="110" w:type="dxa"/>
            </w:tcMar>
          </w:tcPr>
          <w:p>
            <w:r/>
            <w:r>
              <w:rPr>
                <w:rFonts w:ascii="Georgia" w:hAnsi="Georgia"/>
                <w:b w:val="0"/>
                <w:sz w:val="22"/>
              </w:rPr>
              <w:t>CTEC Architecture</w:t>
            </w:r>
          </w:p>
        </w:tc>
      </w:tr>
      <w:tr>
        <w:tc>
          <w:tcPr>
            <w:tcW w:type="dxa" w:w="2880"/>
            <w:vAlign w:val="center"/>
            <w:tcMar>
              <w:top w:w="90" w:type="dxa"/>
              <w:start w:w="110" w:type="dxa"/>
              <w:bottom w:w="90" w:type="dxa"/>
              <w:end w:w="110" w:type="dxa"/>
            </w:tcMar>
          </w:tcPr>
          <w:p>
            <w:r/>
            <w:r>
              <w:rPr>
                <w:rFonts w:ascii="Georgia" w:hAnsi="Georgia"/>
                <w:b w:val="0"/>
                <w:sz w:val="22"/>
              </w:rPr>
              <w:t>Depends On</w:t>
            </w:r>
          </w:p>
        </w:tc>
        <w:tc>
          <w:tcPr>
            <w:tcW w:type="dxa" w:w="5760"/>
            <w:vAlign w:val="center"/>
            <w:tcMar>
              <w:top w:w="90" w:type="dxa"/>
              <w:start w:w="110" w:type="dxa"/>
              <w:bottom w:w="90" w:type="dxa"/>
              <w:end w:w="110" w:type="dxa"/>
            </w:tcMar>
          </w:tcPr>
          <w:p>
            <w:r>
              <w:t>EAH-001, RFC-010, RFC-011, CDS-001, EOM-001 v1.3, ESM-001 v1.3, PAD-001 v1.4</w:t>
            </w:r>
          </w:p>
        </w:tc>
      </w:tr>
      <w:tr>
        <w:tc>
          <w:tcPr>
            <w:tcW w:type="dxa" w:w="2880"/>
            <w:vAlign w:val="center"/>
            <w:tcMar>
              <w:top w:w="90" w:type="dxa"/>
              <w:start w:w="110" w:type="dxa"/>
              <w:bottom w:w="90" w:type="dxa"/>
              <w:end w:w="110" w:type="dxa"/>
            </w:tcMar>
          </w:tcPr>
          <w:p>
            <w:r/>
            <w:r>
              <w:rPr>
                <w:rFonts w:ascii="Georgia" w:hAnsi="Georgia"/>
                <w:b w:val="0"/>
                <w:sz w:val="22"/>
              </w:rPr>
              <w:t>Consumed By</w:t>
            </w:r>
          </w:p>
        </w:tc>
        <w:tc>
          <w:tcPr>
            <w:tcW w:type="dxa" w:w="5760"/>
            <w:vAlign w:val="center"/>
            <w:tcMar>
              <w:top w:w="90" w:type="dxa"/>
              <w:start w:w="110" w:type="dxa"/>
              <w:bottom w:w="90" w:type="dxa"/>
              <w:end w:w="110" w:type="dxa"/>
            </w:tcMar>
          </w:tcPr>
          <w:p>
            <w:r>
              <w:t>CDD-010, PAD-001, PWD-001</w:t>
            </w:r>
          </w:p>
        </w:tc>
      </w:tr>
    </w:tbl>
    <w:p>
      <w:pPr>
        <w:spacing w:after="0"/>
      </w:pPr>
    </w:p>
    <w:p>
      <w:pPr>
        <w:pStyle w:val="Heading1"/>
      </w:pPr>
      <w:r>
        <w:t>Revision History</w:t>
      </w:r>
    </w:p>
    <w:p>
      <w:r>
        <w:t>Version 1.3 — Dependency Reconciliation Clarification Release. Narrows EIC to invocation receipt, validation, admission, rejection, and handoff.</w:t>
      </w:r>
    </w:p>
    <w:p>
      <w:pPr>
        <w:pStyle w:val="Heading1"/>
      </w:pPr>
      <w:r>
        <w:t>1. Executive Summary</w:t>
      </w:r>
    </w:p>
    <w:p>
      <w:pPr>
        <w:pStyle w:val="Heading2"/>
      </w:pPr>
      <w:r>
        <w:t>Purpose</w:t>
      </w:r>
    </w:p>
    <w:p>
      <w:pPr/>
      <w:r>
        <w:t>The Cognitive Engine Invocation Architecture (EIC) defines the exclusive runtime invocation boundary of the CTEC Cognitive Engine.</w:t>
      </w:r>
    </w:p>
    <w:p>
      <w:pPr/>
      <w:r>
        <w:t>EIC owns invocation receipt, invocation validation, invocation admission, invocation rejection, the invocation contract, and handoff to EOM-001.</w:t>
      </w:r>
    </w:p>
    <w:p>
      <w:pPr/>
      <w:r>
        <w:t>EIC does not define business semantics, canonical ontology, execution lifecycle, execution states, capability sequencing, orchestration, completion, failure determination, or implementation technology.</w:t>
      </w:r>
    </w:p>
    <w:p>
      <w:pPr/>
      <w:r>
        <w:t>Every runtime request for enterprise cognition SHALL pass through EIC. After successful admission, EIC transfers ownership to EOM-001 and has no authority over execution beyond that handoff boundary.</w:t>
      </w:r>
    </w:p>
    <w:p>
      <w:pPr>
        <w:pStyle w:val="Heading1"/>
      </w:pPr>
      <w:r>
        <w:t>2. Architectural Position</w:t>
      </w:r>
    </w:p>
    <w:p>
      <w:pPr>
        <w:jc w:val="center"/>
      </w:pPr>
      <w:r>
        <w:rPr>
          <w:rFonts w:ascii="Courier New" w:hAnsi="Courier New"/>
          <w:b w:val="0"/>
          <w:sz w:val="20"/>
        </w:rPr>
        <w:t>Product Layer</w:t>
        <w:br/>
        <w:t>│</w:t>
        <w:br/>
        <w:t>▼</w:t>
        <w:br/>
        <w:t>Product Access Protocol</w:t>
        <w:br/>
        <w:t>│</w:t>
        <w:br/>
        <w:t>▼</w:t>
        <w:br/>
        <w:t>Engine Access Facade</w:t>
        <w:br/>
        <w:t>│</w:t>
        <w:br/>
        <w:t>▼</w:t>
        <w:br/>
        <w:t>Cognitive Engine Invocation Architecture</w:t>
        <w:br/>
        <w:t>│</w:t>
        <w:br/>
        <w:t>▼</w:t>
        <w:br/>
        <w:t>CTEC Cognitive Engine</w:t>
        <w:br/>
        <w:t>ERM → SRM → ASM → KRM → DRM → GRM</w:t>
      </w:r>
    </w:p>
    <w:p>
      <w:r>
        <w:rPr>
          <w:rFonts w:ascii="Georgia" w:hAnsi="Georgia"/>
          <w:b w:val="0"/>
          <w:sz w:val="22"/>
        </w:rPr>
        <w:t>EIC is the exclusive runtime invocation architecture of the Cognitive Engine.</w:t>
      </w:r>
    </w:p>
    <w:p>
      <w:pPr>
        <w:pStyle w:val="Heading1"/>
      </w:pPr>
      <w:r>
        <w:t>3. Scope</w:t>
      </w:r>
    </w:p>
    <w:p>
      <w:pPr>
        <w:pStyle w:val="Heading2"/>
      </w:pPr>
      <w:r>
        <w:t>EIC Owns</w:t>
      </w:r>
    </w:p>
    <w:p>
      <w:pPr>
        <w:pStyle w:val="ListBullet"/>
      </w:pPr>
      <w:r>
        <w:t>Invocation receipt</w:t>
      </w:r>
    </w:p>
    <w:p>
      <w:pPr>
        <w:pStyle w:val="ListBullet"/>
      </w:pPr>
      <w:r>
        <w:t>Invocation validation</w:t>
      </w:r>
    </w:p>
    <w:p>
      <w:pPr>
        <w:pStyle w:val="ListBullet"/>
      </w:pPr>
      <w:r>
        <w:t>Invocation admission</w:t>
      </w:r>
    </w:p>
    <w:p>
      <w:pPr>
        <w:pStyle w:val="ListBullet"/>
      </w:pPr>
      <w:r>
        <w:t>Invocation rejection</w:t>
      </w:r>
    </w:p>
    <w:p>
      <w:pPr>
        <w:pStyle w:val="ListBullet"/>
      </w:pPr>
      <w:r>
        <w:t>Invocation contract</w:t>
      </w:r>
    </w:p>
    <w:p>
      <w:pPr>
        <w:pStyle w:val="ListBullet"/>
      </w:pPr>
      <w:r>
        <w:t>Invocation boundary</w:t>
      </w:r>
    </w:p>
    <w:p>
      <w:pPr>
        <w:pStyle w:val="ListBullet"/>
      </w:pPr>
      <w:r>
        <w:t>Invocation handoff to EOM-001</w:t>
      </w:r>
    </w:p>
    <w:p>
      <w:pPr>
        <w:pStyle w:val="ListBullet"/>
      </w:pPr>
      <w:r>
        <w:t>Runtime correlation at the invocation boundary</w:t>
      </w:r>
    </w:p>
    <w:p>
      <w:pPr>
        <w:pStyle w:val="Heading2"/>
      </w:pPr>
      <w:r>
        <w:t>EIC Does Not Own</w:t>
      </w:r>
    </w:p>
    <w:p>
      <w:pPr>
        <w:pStyle w:val="ListBullet"/>
      </w:pPr>
      <w:r>
        <w:t>Execution lifecycle or execution-state semantics</w:t>
      </w:r>
    </w:p>
    <w:p>
      <w:pPr>
        <w:pStyle w:val="ListBullet"/>
      </w:pPr>
      <w:r>
        <w:t>Capability sequencing or orchestration</w:t>
      </w:r>
    </w:p>
    <w:p>
      <w:pPr>
        <w:pStyle w:val="ListBullet"/>
      </w:pPr>
      <w:r>
        <w:t>Completion or execution-failure determination</w:t>
      </w:r>
    </w:p>
    <w:p>
      <w:pPr>
        <w:pStyle w:val="ListBullet"/>
      </w:pPr>
      <w:r>
        <w:t>Business semantics or the Canonical Enterprise Ontology</w:t>
      </w:r>
    </w:p>
    <w:p>
      <w:pPr>
        <w:pStyle w:val="ListBullet"/>
      </w:pPr>
      <w:r>
        <w:t>Internal cognitive capability behavior</w:t>
      </w:r>
    </w:p>
    <w:p>
      <w:pPr>
        <w:pStyle w:val="ListBullet"/>
      </w:pPr>
      <w:r>
        <w:t>Product protocols, persistence, repositories, APIs, transport, or user interaction</w:t>
      </w:r>
    </w:p>
    <w:p>
      <w:pPr>
        <w:pStyle w:val="Heading1"/>
      </w:pPr>
      <w:r>
        <w:t>4. Runtime Architecture Principles</w:t>
      </w:r>
    </w:p>
    <w:p>
      <w:pPr>
        <w:pStyle w:val="Heading2"/>
      </w:pPr>
      <w:r>
        <w:t>EIP-001 — Single Invocation Boundary</w:t>
      </w:r>
    </w:p>
    <w:p>
      <w:r>
        <w:rPr>
          <w:rFonts w:ascii="Georgia" w:hAnsi="Georgia"/>
          <w:b w:val="0"/>
          <w:sz w:val="22"/>
        </w:rPr>
        <w:t>Every runtime invocation SHALL enter the Cognitive Engine through one invocation boundary. No alternate invocation path is permitted.</w:t>
      </w:r>
    </w:p>
    <w:p>
      <w:pPr>
        <w:pStyle w:val="Heading2"/>
      </w:pPr>
      <w:r>
        <w:t>EIP-002 — Opaque Invocation</w:t>
      </w:r>
    </w:p>
    <w:p>
      <w:r>
        <w:rPr>
          <w:rFonts w:ascii="Georgia" w:hAnsi="Georgia"/>
          <w:b w:val="0"/>
          <w:sz w:val="22"/>
        </w:rPr>
        <w:t>Invocation requests SHALL remain opaque. Consumers SHALL NOT encode capability sequencing or business semantics.</w:t>
      </w:r>
    </w:p>
    <w:p>
      <w:pPr>
        <w:pStyle w:val="Heading2"/>
      </w:pPr>
      <w:r>
        <w:t>EIP-003 — Capability Isolation</w:t>
      </w:r>
    </w:p>
    <w:p>
      <w:r>
        <w:rPr>
          <w:rFonts w:ascii="Georgia" w:hAnsi="Georgia"/>
          <w:b w:val="0"/>
          <w:sz w:val="22"/>
        </w:rPr>
        <w:t>Internal cognitive capabilities SHALL remain invisible to runtime consumers.</w:t>
      </w:r>
    </w:p>
    <w:p>
      <w:pPr>
        <w:pStyle w:val="Heading2"/>
      </w:pPr>
      <w:r>
        <w:rPr>
          <w:b w:val="0"/>
        </w:rPr>
        <w:t>EIP-004 — Invocation Ownership</w:t>
      </w:r>
    </w:p>
    <w:p>
      <w:r>
        <w:rPr>
          <w:b w:val="0"/>
        </w:rPr>
        <w:t>EIC owns invocation processing through Accepted. After handoff, EOM-001 coordinates execution under ESM-001 semantics.</w:t>
      </w:r>
    </w:p>
    <w:p>
      <w:pPr>
        <w:pStyle w:val="Heading2"/>
      </w:pPr>
      <w:r>
        <w:t>EIP-005 — Protocol Independence</w:t>
      </w:r>
    </w:p>
    <w:p>
      <w:r>
        <w:rPr>
          <w:rFonts w:ascii="Georgia" w:hAnsi="Georgia"/>
          <w:b w:val="0"/>
          <w:sz w:val="22"/>
        </w:rPr>
        <w:t>Invocation architecture SHALL remain independent of Product Access Protocol evolution.</w:t>
      </w:r>
    </w:p>
    <w:p>
      <w:pPr>
        <w:pStyle w:val="Heading2"/>
      </w:pPr>
      <w:r>
        <w:t>EIP-006 — Transport Independence</w:t>
      </w:r>
    </w:p>
    <w:p>
      <w:r>
        <w:rPr>
          <w:rFonts w:ascii="Georgia" w:hAnsi="Georgia"/>
          <w:b w:val="0"/>
          <w:sz w:val="22"/>
        </w:rPr>
        <w:t>Invocation architecture SHALL remain independent of transport technology. The invocation mechanism may be implemented in-process or through an external transport without changing architectural semantics.</w:t>
      </w:r>
    </w:p>
    <w:p>
      <w:pPr>
        <w:pStyle w:val="Heading1"/>
      </w:pPr>
      <w:r>
        <w:t>5. Runtime Boundary</w:t>
      </w:r>
    </w:p>
    <w:p>
      <w:r>
        <w:rPr>
          <w:rFonts w:ascii="Georgia" w:hAnsi="Georgia"/>
          <w:b w:val="0"/>
          <w:sz w:val="22"/>
        </w:rPr>
        <w:t>The Cognitive Engine exposes exactly one runtime invocation boundary.</w:t>
      </w:r>
    </w:p>
    <w:p>
      <w:r>
        <w:rPr>
          <w:rFonts w:ascii="Georgia" w:hAnsi="Georgia"/>
          <w:b w:val="0"/>
          <w:sz w:val="22"/>
        </w:rPr>
        <w:t>Consumers SHALL invoke enterprise cognition through this boundary only.</w:t>
      </w:r>
    </w:p>
    <w:p>
      <w:r>
        <w:rPr>
          <w:rFonts w:ascii="Georgia" w:hAnsi="Georgia"/>
          <w:b w:val="0"/>
          <w:sz w:val="22"/>
        </w:rPr>
        <w:t>The runtime boundary SHALL NOT expose:</w:t>
      </w:r>
    </w:p>
    <w:p>
      <w:pPr>
        <w:pStyle w:val="ListBullet"/>
        <w:ind w:left="360" w:hanging="259"/>
      </w:pPr>
      <w:r>
        <w:rPr>
          <w:rFonts w:ascii="Georgia" w:hAnsi="Georgia"/>
          <w:b w:val="0"/>
          <w:sz w:val="22"/>
        </w:rPr>
        <w:t>ERM</w:t>
      </w:r>
    </w:p>
    <w:p>
      <w:pPr>
        <w:pStyle w:val="ListBullet"/>
        <w:ind w:left="360" w:hanging="259"/>
      </w:pPr>
      <w:r>
        <w:rPr>
          <w:rFonts w:ascii="Georgia" w:hAnsi="Georgia"/>
          <w:b w:val="0"/>
          <w:sz w:val="22"/>
        </w:rPr>
        <w:t>SRM</w:t>
      </w:r>
    </w:p>
    <w:p>
      <w:pPr>
        <w:pStyle w:val="ListBullet"/>
        <w:ind w:left="360" w:hanging="259"/>
      </w:pPr>
      <w:r>
        <w:rPr>
          <w:rFonts w:ascii="Georgia" w:hAnsi="Georgia"/>
          <w:b w:val="0"/>
          <w:sz w:val="22"/>
        </w:rPr>
        <w:t>ASM</w:t>
      </w:r>
    </w:p>
    <w:p>
      <w:pPr>
        <w:pStyle w:val="ListBullet"/>
        <w:ind w:left="360" w:hanging="259"/>
      </w:pPr>
      <w:r>
        <w:rPr>
          <w:rFonts w:ascii="Georgia" w:hAnsi="Georgia"/>
          <w:b w:val="0"/>
          <w:sz w:val="22"/>
        </w:rPr>
        <w:t>KRM</w:t>
      </w:r>
    </w:p>
    <w:p>
      <w:pPr>
        <w:pStyle w:val="ListBullet"/>
        <w:ind w:left="360" w:hanging="259"/>
      </w:pPr>
      <w:r>
        <w:rPr>
          <w:rFonts w:ascii="Georgia" w:hAnsi="Georgia"/>
          <w:b w:val="0"/>
          <w:sz w:val="22"/>
        </w:rPr>
        <w:t>DRM</w:t>
      </w:r>
    </w:p>
    <w:p>
      <w:pPr>
        <w:pStyle w:val="ListBullet"/>
        <w:ind w:left="360" w:hanging="259"/>
      </w:pPr>
      <w:r>
        <w:rPr>
          <w:rFonts w:ascii="Georgia" w:hAnsi="Georgia"/>
          <w:b w:val="0"/>
          <w:sz w:val="22"/>
        </w:rPr>
        <w:t>GRM</w:t>
      </w:r>
    </w:p>
    <w:p>
      <w:pPr>
        <w:pStyle w:val="ListBullet"/>
        <w:ind w:left="360" w:hanging="259"/>
      </w:pPr>
      <w:r>
        <w:rPr>
          <w:rFonts w:ascii="Georgia" w:hAnsi="Georgia"/>
          <w:b w:val="0"/>
          <w:sz w:val="22"/>
        </w:rPr>
        <w:t>repositories</w:t>
      </w:r>
    </w:p>
    <w:p>
      <w:pPr>
        <w:pStyle w:val="ListBullet"/>
        <w:ind w:left="360" w:hanging="259"/>
      </w:pPr>
      <w:r>
        <w:rPr>
          <w:rFonts w:ascii="Georgia" w:hAnsi="Georgia"/>
          <w:b w:val="0"/>
          <w:sz w:val="22"/>
        </w:rPr>
        <w:t>persistence</w:t>
      </w:r>
    </w:p>
    <w:p>
      <w:pPr>
        <w:pStyle w:val="ListBullet"/>
        <w:ind w:left="360" w:hanging="259"/>
      </w:pPr>
      <w:r>
        <w:rPr>
          <w:rFonts w:ascii="Georgia" w:hAnsi="Georgia"/>
          <w:b w:val="0"/>
          <w:sz w:val="22"/>
        </w:rPr>
        <w:t>internal orchestration</w:t>
      </w:r>
    </w:p>
    <w:p>
      <w:pPr>
        <w:pStyle w:val="Heading1"/>
      </w:pPr>
      <w:r>
        <w:t>6. Engine Entry Point</w:t>
      </w:r>
    </w:p>
    <w:p>
      <w:r>
        <w:rPr>
          <w:rFonts w:ascii="Georgia" w:hAnsi="Georgia"/>
          <w:b w:val="0"/>
          <w:sz w:val="22"/>
        </w:rPr>
        <w:t>The Cognitive Engine SHALL expose a single runtime entry point.</w:t>
      </w:r>
    </w:p>
    <w:p>
      <w:r>
        <w:rPr>
          <w:rFonts w:ascii="Georgia" w:hAnsi="Georgia"/>
          <w:b w:val="0"/>
          <w:sz w:val="22"/>
        </w:rPr>
        <w:t>The entry point accepts opaque invocation requests and returns opaque execution references.</w:t>
      </w:r>
    </w:p>
    <w:p>
      <w:r>
        <w:rPr>
          <w:rFonts w:ascii="Georgia" w:hAnsi="Georgia"/>
          <w:b w:val="0"/>
          <w:sz w:val="22"/>
        </w:rPr>
        <w:t>Consumers SHALL NOT invoke internal cognitive capabilities individually.</w:t>
      </w:r>
    </w:p>
    <w:p>
      <w:pPr>
        <w:pStyle w:val="Heading1"/>
      </w:pPr>
      <w:r>
        <w:t>7. Invocation Contract</w:t>
      </w:r>
    </w:p>
    <w:p>
      <w:pPr>
        <w:pStyle w:val="Heading2"/>
      </w:pPr>
      <w:r>
        <w:t>Purpose</w:t>
      </w:r>
    </w:p>
    <w:p>
      <w:pPr/>
      <w:r>
        <w:t>Provide a technology-neutral invocation contract between runtime consumers and the Cognitive Engine.</w:t>
      </w:r>
    </w:p>
    <w:p>
      <w:pPr>
        <w:pStyle w:val="Heading2"/>
      </w:pPr>
      <w:r>
        <w:t>Invocation Request</w:t>
      </w:r>
    </w:p>
    <w:p>
      <w:pPr/>
      <w:r>
        <w:t>Contains:</w:t>
      </w:r>
    </w:p>
    <w:p>
      <w:pPr>
        <w:pStyle w:val="ListBullet"/>
      </w:pPr>
      <w:r>
        <w:t>Protocol Version</w:t>
      </w:r>
    </w:p>
    <w:p>
      <w:pPr>
        <w:pStyle w:val="ListBullet"/>
      </w:pPr>
      <w:r>
        <w:t>Correlation Identifier</w:t>
      </w:r>
    </w:p>
    <w:p>
      <w:pPr>
        <w:pStyle w:val="ListBullet"/>
      </w:pPr>
      <w:r>
        <w:t>Request Identifier</w:t>
      </w:r>
    </w:p>
    <w:p>
      <w:pPr>
        <w:pStyle w:val="ListBullet"/>
      </w:pPr>
      <w:r>
        <w:t>Session Identifier</w:t>
      </w:r>
    </w:p>
    <w:p>
      <w:pPr>
        <w:pStyle w:val="ListBullet"/>
      </w:pPr>
      <w:r>
        <w:t>Request Classification</w:t>
      </w:r>
    </w:p>
    <w:p>
      <w:pPr>
        <w:pStyle w:val="ListBullet"/>
      </w:pPr>
      <w:r>
        <w:t>Opaque Payload</w:t>
      </w:r>
    </w:p>
    <w:p>
      <w:pPr/>
      <w:r>
        <w:t>The request SHALL NOT contain capability sequence, business semantics, or canonical ontology modifications.</w:t>
      </w:r>
    </w:p>
    <w:p>
      <w:pPr>
        <w:pStyle w:val="Heading2"/>
      </w:pPr>
      <w:r>
        <w:t>Invocation Response</w:t>
      </w:r>
    </w:p>
    <w:p>
      <w:pPr/>
      <w:r>
        <w:t>For a successfully admitted invocation, the response returns:</w:t>
      </w:r>
    </w:p>
    <w:p>
      <w:pPr>
        <w:pStyle w:val="ListBullet"/>
      </w:pPr>
      <w:r>
        <w:t>Execution Identifier</w:t>
      </w:r>
    </w:p>
    <w:p>
      <w:pPr>
        <w:pStyle w:val="ListBullet"/>
      </w:pPr>
      <w:r>
        <w:t>Execution Reference</w:t>
      </w:r>
    </w:p>
    <w:p>
      <w:pPr>
        <w:pStyle w:val="ListBullet"/>
      </w:pPr>
      <w:r>
        <w:t>Accepted status</w:t>
      </w:r>
    </w:p>
    <w:p>
      <w:pPr/>
      <w:r>
        <w:t>For a rejected invocation, the response returns the rejection status and invocation-level rejection category. It returns no Execution Identifier or Execution Reference.</w:t>
      </w:r>
    </w:p>
    <w:p>
      <w:pPr/>
      <w:r>
        <w:t>The response SHALL NOT expose internal capability state.</w:t>
      </w:r>
    </w:p>
    <w:p>
      <w:pPr>
        <w:pStyle w:val="Heading1"/>
      </w:pPr>
      <w:r>
        <w:rPr>
          <w:b w:val="0"/>
        </w:rPr>
        <w:t>8. Invocation Ownership</w:t>
      </w:r>
    </w:p>
    <w:p>
      <w:pPr>
        <w:pStyle w:val="Heading2"/>
      </w:pPr>
      <w:r>
        <w:t>Identifier Ownership</w:t>
      </w:r>
    </w:p>
    <w:p>
      <w:pPr/>
      <w:r>
        <w:t>The Product Layer owns the Request Identifier, Correlation Identifier, and Session Identifier.</w:t>
      </w:r>
    </w:p>
    <w:p>
      <w:pPr/>
      <w:r>
        <w:t>The Cognitive Engine creates and owns the Execution Identifier only after successful invocation admission. EIC returns that identifier through the invoking boundary; PAD transports it without assuming ownership.</w:t>
      </w:r>
    </w:p>
    <w:p>
      <w:pPr/>
      <w:r>
        <w:t>No Execution Identifier exists for a rejected invocation.</w:t>
      </w:r>
    </w:p>
    <w:p>
      <w:pPr>
        <w:pStyle w:val="Heading1"/>
      </w:pPr>
      <w:r>
        <w:rPr>
          <w:b w:val="0"/>
        </w:rPr>
        <w:t>9. Invocation Handoff</w:t>
      </w:r>
    </w:p>
    <w:p>
      <w:pPr/>
      <w:r>
        <w:t>EIC governs invocation processing through the Accepted handoff point:</w:t>
      </w:r>
    </w:p>
    <w:p>
      <w:pPr>
        <w:jc w:val="center"/>
      </w:pPr>
      <w:r>
        <w:rPr>
          <w:rFonts w:ascii="Courier New" w:hAnsi="Courier New"/>
          <w:sz w:val="20"/>
        </w:rPr>
        <w:t>Received</w:t>
        <w:br/>
        <w:t xml:space="preserve">   │</w:t>
        <w:br/>
        <w:t xml:space="preserve">   ▼</w:t>
        <w:br/>
        <w:t>Validated</w:t>
        <w:br/>
        <w:t xml:space="preserve">   ├──────────────► Rejected — END</w:t>
        <w:br/>
        <w:t xml:space="preserve">   │</w:t>
        <w:br/>
        <w:t xml:space="preserve">   ▼</w:t>
        <w:br/>
        <w:t>Accepted</w:t>
        <w:br/>
        <w:t>══════════════════════════════</w:t>
        <w:br/>
        <w:t>Ownership transfers to EOM-001</w:t>
        <w:br/>
        <w:t>══════════════════════════════</w:t>
        <w:br/>
        <w:t>Executing</w:t>
      </w:r>
    </w:p>
    <w:p>
      <w:pPr/>
      <w:r>
        <w:t>Received and Validated are invocation statuses owned by EIC. Rejected terminates invocation processing and creates no execution. Accepted is the admission and handoff point. Executing, Completed, and Failed are governed after handoff by EOM-001 under ESM-001 semantics.</w:t>
      </w:r>
    </w:p>
    <w:p>
      <w:pPr>
        <w:pStyle w:val="Heading1"/>
      </w:pPr>
      <w:r>
        <w:rPr>
          <w:b w:val="0"/>
        </w:rPr>
        <w:t>10. Post-Handoff Boundary</w:t>
      </w:r>
    </w:p>
    <w:p>
      <w:pPr/>
      <w:r>
        <w:t>After successful invocation admission, ownership transfers to the Cognitive Engine Orchestration Architecture defined by EOM-001.</w:t>
      </w:r>
    </w:p>
    <w:p>
      <w:pPr/>
      <w:r>
        <w:t>EIC has no authority over execution beyond the handoff boundary. It does not determine capability sequence, dependencies, internal retry, completion, or failure.</w:t>
      </w:r>
    </w:p>
    <w:p>
      <w:pPr>
        <w:pStyle w:val="Heading1"/>
      </w:pPr>
      <w:r>
        <w:t>11. Isolation Rules</w:t>
      </w:r>
    </w:p>
    <w:p>
      <w:r>
        <w:rPr>
          <w:rFonts w:ascii="Georgia" w:hAnsi="Georgia"/>
          <w:b w:val="0"/>
          <w:sz w:val="22"/>
        </w:rPr>
        <w:t>Runtime consumers SHALL NEVER:</w:t>
      </w:r>
    </w:p>
    <w:p>
      <w:pPr>
        <w:pStyle w:val="ListBullet"/>
        <w:ind w:left="360" w:hanging="259"/>
      </w:pPr>
      <w:r>
        <w:rPr>
          <w:rFonts w:ascii="Georgia" w:hAnsi="Georgia"/>
          <w:b w:val="0"/>
          <w:sz w:val="22"/>
        </w:rPr>
        <w:t>invoke ERM directly;</w:t>
      </w:r>
    </w:p>
    <w:p>
      <w:pPr>
        <w:pStyle w:val="ListBullet"/>
        <w:ind w:left="360" w:hanging="259"/>
      </w:pPr>
      <w:r>
        <w:rPr>
          <w:rFonts w:ascii="Georgia" w:hAnsi="Georgia"/>
          <w:b w:val="0"/>
          <w:sz w:val="22"/>
        </w:rPr>
        <w:t>invoke SRM directly;</w:t>
      </w:r>
    </w:p>
    <w:p>
      <w:pPr>
        <w:pStyle w:val="ListBullet"/>
        <w:ind w:left="360" w:hanging="259"/>
      </w:pPr>
      <w:r>
        <w:rPr>
          <w:rFonts w:ascii="Georgia" w:hAnsi="Georgia"/>
          <w:b w:val="0"/>
          <w:sz w:val="22"/>
        </w:rPr>
        <w:t>invoke ASM directly;</w:t>
      </w:r>
    </w:p>
    <w:p>
      <w:pPr>
        <w:pStyle w:val="ListBullet"/>
        <w:ind w:left="360" w:hanging="259"/>
      </w:pPr>
      <w:r>
        <w:rPr>
          <w:rFonts w:ascii="Georgia" w:hAnsi="Georgia"/>
          <w:b w:val="0"/>
          <w:sz w:val="22"/>
        </w:rPr>
        <w:t>invoke KRM directly;</w:t>
      </w:r>
    </w:p>
    <w:p>
      <w:pPr>
        <w:pStyle w:val="ListBullet"/>
        <w:ind w:left="360" w:hanging="259"/>
      </w:pPr>
      <w:r>
        <w:rPr>
          <w:rFonts w:ascii="Georgia" w:hAnsi="Georgia"/>
          <w:b w:val="0"/>
          <w:sz w:val="22"/>
        </w:rPr>
        <w:t>invoke DRM directly;</w:t>
      </w:r>
    </w:p>
    <w:p>
      <w:pPr>
        <w:pStyle w:val="ListBullet"/>
        <w:ind w:left="360" w:hanging="259"/>
      </w:pPr>
      <w:r>
        <w:rPr>
          <w:rFonts w:ascii="Georgia" w:hAnsi="Georgia"/>
          <w:b w:val="0"/>
          <w:sz w:val="22"/>
        </w:rPr>
        <w:t>invoke GRM directly;</w:t>
      </w:r>
    </w:p>
    <w:p>
      <w:pPr>
        <w:pStyle w:val="ListBullet"/>
        <w:ind w:left="360" w:hanging="259"/>
      </w:pPr>
      <w:r>
        <w:rPr>
          <w:rFonts w:ascii="Georgia" w:hAnsi="Georgia"/>
          <w:b w:val="0"/>
          <w:sz w:val="22"/>
        </w:rPr>
        <w:t>access repositories;</w:t>
      </w:r>
    </w:p>
    <w:p>
      <w:pPr>
        <w:pStyle w:val="ListBullet"/>
        <w:ind w:left="360" w:hanging="259"/>
      </w:pPr>
      <w:r>
        <w:rPr>
          <w:rFonts w:ascii="Georgia" w:hAnsi="Georgia"/>
          <w:b w:val="0"/>
          <w:sz w:val="22"/>
        </w:rPr>
        <w:t>access persistence;</w:t>
      </w:r>
    </w:p>
    <w:p>
      <w:pPr>
        <w:pStyle w:val="ListBullet"/>
        <w:ind w:left="360" w:hanging="259"/>
      </w:pPr>
      <w:r>
        <w:rPr>
          <w:rFonts w:ascii="Georgia" w:hAnsi="Georgia"/>
          <w:b w:val="0"/>
          <w:sz w:val="22"/>
        </w:rPr>
        <w:t>determine execution order;</w:t>
      </w:r>
    </w:p>
    <w:p>
      <w:pPr>
        <w:pStyle w:val="ListBullet"/>
        <w:ind w:left="360" w:hanging="259"/>
      </w:pPr>
      <w:r>
        <w:rPr>
          <w:rFonts w:ascii="Georgia" w:hAnsi="Georgia"/>
          <w:b w:val="0"/>
          <w:sz w:val="22"/>
        </w:rPr>
        <w:t>manage execution state.</w:t>
      </w:r>
    </w:p>
    <w:p>
      <w:pPr>
        <w:pStyle w:val="Heading1"/>
      </w:pPr>
      <w:r>
        <w:t>12. Runtime Reference Contracts</w:t>
      </w:r>
    </w:p>
    <w:p>
      <w:r>
        <w:rPr>
          <w:rFonts w:ascii="Georgia" w:hAnsi="Georgia"/>
          <w:b w:val="0"/>
          <w:sz w:val="22"/>
        </w:rPr>
        <w:t>Execution results SHALL be referenced using opaque runtime references.</w:t>
      </w:r>
    </w:p>
    <w:p>
      <w:r>
        <w:rPr>
          <w:rFonts w:ascii="Georgia" w:hAnsi="Georgia"/>
          <w:b w:val="0"/>
          <w:sz w:val="22"/>
        </w:rPr>
        <w:t>Reference categories include:</w:t>
      </w:r>
    </w:p>
    <w:p>
      <w:pPr>
        <w:pStyle w:val="ListBullet"/>
        <w:ind w:left="360" w:hanging="259"/>
      </w:pPr>
      <w:r>
        <w:rPr>
          <w:rFonts w:ascii="Georgia" w:hAnsi="Georgia"/>
          <w:b w:val="0"/>
          <w:sz w:val="22"/>
        </w:rPr>
        <w:t>Execution Reference</w:t>
      </w:r>
    </w:p>
    <w:p>
      <w:pPr>
        <w:pStyle w:val="ListBullet"/>
        <w:ind w:left="360" w:hanging="259"/>
      </w:pPr>
      <w:r>
        <w:rPr>
          <w:rFonts w:ascii="Georgia" w:hAnsi="Georgia"/>
          <w:b w:val="0"/>
          <w:sz w:val="22"/>
        </w:rPr>
        <w:t>Projection Reference</w:t>
      </w:r>
    </w:p>
    <w:p>
      <w:pPr>
        <w:pStyle w:val="ListBullet"/>
        <w:ind w:left="360" w:hanging="259"/>
      </w:pPr>
      <w:r>
        <w:rPr>
          <w:rFonts w:ascii="Georgia" w:hAnsi="Georgia"/>
          <w:b w:val="0"/>
          <w:sz w:val="22"/>
        </w:rPr>
        <w:t>Explanation Reference</w:t>
      </w:r>
    </w:p>
    <w:p>
      <w:pPr>
        <w:pStyle w:val="ListBullet"/>
        <w:ind w:left="360" w:hanging="259"/>
      </w:pPr>
      <w:r>
        <w:rPr>
          <w:rFonts w:ascii="Georgia" w:hAnsi="Georgia"/>
          <w:b w:val="0"/>
          <w:sz w:val="22"/>
        </w:rPr>
        <w:t>History Reference</w:t>
      </w:r>
    </w:p>
    <w:p>
      <w:pPr>
        <w:pStyle w:val="ListBullet"/>
        <w:ind w:left="360" w:hanging="259"/>
      </w:pPr>
      <w:r>
        <w:rPr>
          <w:rFonts w:ascii="Georgia" w:hAnsi="Georgia"/>
          <w:b w:val="0"/>
          <w:sz w:val="22"/>
        </w:rPr>
        <w:t>Governance Reference</w:t>
      </w:r>
    </w:p>
    <w:p>
      <w:r>
        <w:rPr>
          <w:rFonts w:ascii="Georgia" w:hAnsi="Georgia"/>
          <w:b w:val="0"/>
          <w:sz w:val="22"/>
        </w:rPr>
        <w:t>Reference identifiers SHALL carry no business meaning.</w:t>
      </w:r>
    </w:p>
    <w:p>
      <w:pPr>
        <w:pStyle w:val="Heading1"/>
      </w:pPr>
      <w:r>
        <w:t>13. Correlation Model</w:t>
      </w:r>
    </w:p>
    <w:p>
      <w:r>
        <w:rPr>
          <w:rFonts w:ascii="Georgia" w:hAnsi="Georgia"/>
          <w:b w:val="0"/>
          <w:sz w:val="22"/>
        </w:rPr>
        <w:t>The runtime architecture recognizes:</w:t>
      </w:r>
    </w:p>
    <w:p>
      <w:pPr>
        <w:pStyle w:val="ListBullet"/>
        <w:ind w:left="360" w:hanging="259"/>
      </w:pPr>
      <w:r>
        <w:rPr>
          <w:rFonts w:ascii="Georgia" w:hAnsi="Georgia"/>
          <w:b w:val="0"/>
          <w:sz w:val="22"/>
        </w:rPr>
        <w:t>Request Identifier</w:t>
      </w:r>
    </w:p>
    <w:p>
      <w:pPr>
        <w:pStyle w:val="ListBullet"/>
        <w:ind w:left="360" w:hanging="259"/>
      </w:pPr>
      <w:r>
        <w:rPr>
          <w:rFonts w:ascii="Georgia" w:hAnsi="Georgia"/>
          <w:b w:val="0"/>
          <w:sz w:val="22"/>
        </w:rPr>
        <w:t>Correlation Identifier</w:t>
      </w:r>
    </w:p>
    <w:p>
      <w:pPr>
        <w:pStyle w:val="ListBullet"/>
        <w:ind w:left="360" w:hanging="259"/>
      </w:pPr>
      <w:r>
        <w:rPr>
          <w:rFonts w:ascii="Georgia" w:hAnsi="Georgia"/>
          <w:b w:val="0"/>
          <w:sz w:val="22"/>
        </w:rPr>
        <w:t>Session Identifier</w:t>
      </w:r>
    </w:p>
    <w:p>
      <w:pPr>
        <w:pStyle w:val="ListBullet"/>
        <w:ind w:left="360" w:hanging="259"/>
      </w:pPr>
      <w:r>
        <w:rPr>
          <w:rFonts w:ascii="Georgia" w:hAnsi="Georgia"/>
          <w:b w:val="0"/>
          <w:sz w:val="22"/>
        </w:rPr>
        <w:t>Execution Identifier</w:t>
      </w:r>
    </w:p>
    <w:p>
      <w:r>
        <w:rPr>
          <w:rFonts w:ascii="Georgia" w:hAnsi="Georgia"/>
          <w:b w:val="0"/>
          <w:sz w:val="22"/>
        </w:rPr>
        <w:t>Ownership:</w:t>
      </w:r>
    </w:p>
    <w:tbl>
      <w:tblPr>
        <w:tblStyle w:val="TableGrid"/>
        <w:tblW w:type="auto" w:w="0"/>
        <w:jc w:val="center"/>
        <w:tblLayout w:type="fixed"/>
        <w:tblLook w:firstColumn="1" w:firstRow="1" w:lastColumn="0" w:lastRow="0" w:noHBand="0" w:noVBand="1" w:val="04A0"/>
      </w:tblPr>
      <w:tblGrid>
        <w:gridCol w:w="4320"/>
        <w:gridCol w:w="4320"/>
      </w:tblGrid>
      <w:tr>
        <w:trPr>
          <w:tblHeader/>
        </w:trPr>
        <w:tc>
          <w:tcPr>
            <w:tcW w:type="dxa" w:w="4320"/>
            <w:shd w:fill="D9E2F3"/>
            <w:vAlign w:val="center"/>
            <w:tcMar>
              <w:top w:w="90" w:type="dxa"/>
              <w:start w:w="110" w:type="dxa"/>
              <w:bottom w:w="90" w:type="dxa"/>
              <w:end w:w="110" w:type="dxa"/>
            </w:tcMar>
          </w:tcPr>
          <w:p>
            <w:r/>
            <w:r>
              <w:rPr>
                <w:rFonts w:ascii="Georgia" w:hAnsi="Georgia"/>
                <w:b/>
                <w:sz w:val="22"/>
              </w:rPr>
              <w:t>Identifier</w:t>
            </w:r>
          </w:p>
        </w:tc>
        <w:tc>
          <w:tcPr>
            <w:tcW w:type="dxa" w:w="4320"/>
            <w:shd w:fill="D9E2F3"/>
            <w:vAlign w:val="center"/>
            <w:tcMar>
              <w:top w:w="90" w:type="dxa"/>
              <w:start w:w="110" w:type="dxa"/>
              <w:bottom w:w="90" w:type="dxa"/>
              <w:end w:w="110" w:type="dxa"/>
            </w:tcMar>
          </w:tcPr>
          <w:p>
            <w:r/>
            <w:r>
              <w:rPr>
                <w:rFonts w:ascii="Georgia" w:hAnsi="Georgia"/>
                <w:b/>
                <w:sz w:val="22"/>
              </w:rPr>
              <w:t>Owner</w:t>
            </w:r>
          </w:p>
        </w:tc>
      </w:tr>
      <w:tr>
        <w:tc>
          <w:tcPr>
            <w:tcW w:type="dxa" w:w="4320"/>
            <w:vAlign w:val="center"/>
            <w:tcMar>
              <w:top w:w="90" w:type="dxa"/>
              <w:start w:w="110" w:type="dxa"/>
              <w:bottom w:w="90" w:type="dxa"/>
              <w:end w:w="110" w:type="dxa"/>
            </w:tcMar>
          </w:tcPr>
          <w:p>
            <w:r/>
            <w:r>
              <w:rPr>
                <w:rFonts w:ascii="Georgia" w:hAnsi="Georgia"/>
                <w:b w:val="0"/>
                <w:sz w:val="22"/>
              </w:rPr>
              <w:t>Request Identifier</w:t>
            </w:r>
          </w:p>
        </w:tc>
        <w:tc>
          <w:tcPr>
            <w:tcW w:type="dxa" w:w="4320"/>
            <w:vAlign w:val="center"/>
            <w:tcMar>
              <w:top w:w="90" w:type="dxa"/>
              <w:start w:w="110" w:type="dxa"/>
              <w:bottom w:w="90" w:type="dxa"/>
              <w:end w:w="110" w:type="dxa"/>
            </w:tcMar>
          </w:tcPr>
          <w:p>
            <w:r/>
            <w:r>
              <w:rPr>
                <w:rFonts w:ascii="Georgia" w:hAnsi="Georgia"/>
                <w:b w:val="0"/>
                <w:sz w:val="22"/>
              </w:rPr>
              <w:t>Runtime Consumer</w:t>
            </w:r>
          </w:p>
        </w:tc>
      </w:tr>
      <w:tr>
        <w:tc>
          <w:tcPr>
            <w:tcW w:type="dxa" w:w="4320"/>
            <w:vAlign w:val="center"/>
            <w:tcMar>
              <w:top w:w="90" w:type="dxa"/>
              <w:start w:w="110" w:type="dxa"/>
              <w:bottom w:w="90" w:type="dxa"/>
              <w:end w:w="110" w:type="dxa"/>
            </w:tcMar>
          </w:tcPr>
          <w:p>
            <w:r/>
            <w:r>
              <w:rPr>
                <w:rFonts w:ascii="Georgia" w:hAnsi="Georgia"/>
                <w:b w:val="0"/>
                <w:sz w:val="22"/>
              </w:rPr>
              <w:t>Correlation Identifier</w:t>
            </w:r>
          </w:p>
        </w:tc>
        <w:tc>
          <w:tcPr>
            <w:tcW w:type="dxa" w:w="4320"/>
            <w:vAlign w:val="center"/>
            <w:tcMar>
              <w:top w:w="90" w:type="dxa"/>
              <w:start w:w="110" w:type="dxa"/>
              <w:bottom w:w="90" w:type="dxa"/>
              <w:end w:w="110" w:type="dxa"/>
            </w:tcMar>
          </w:tcPr>
          <w:p>
            <w:r/>
            <w:r>
              <w:rPr>
                <w:rFonts w:ascii="Georgia" w:hAnsi="Georgia"/>
                <w:b w:val="0"/>
                <w:sz w:val="22"/>
              </w:rPr>
              <w:t>Runtime Consumer</w:t>
            </w:r>
          </w:p>
        </w:tc>
      </w:tr>
      <w:tr>
        <w:tc>
          <w:tcPr>
            <w:tcW w:type="dxa" w:w="4320"/>
            <w:vAlign w:val="center"/>
            <w:tcMar>
              <w:top w:w="90" w:type="dxa"/>
              <w:start w:w="110" w:type="dxa"/>
              <w:bottom w:w="90" w:type="dxa"/>
              <w:end w:w="110" w:type="dxa"/>
            </w:tcMar>
          </w:tcPr>
          <w:p>
            <w:r/>
            <w:r>
              <w:rPr>
                <w:rFonts w:ascii="Georgia" w:hAnsi="Georgia"/>
                <w:b w:val="0"/>
                <w:sz w:val="22"/>
              </w:rPr>
              <w:t>Session Identifier</w:t>
            </w:r>
          </w:p>
        </w:tc>
        <w:tc>
          <w:tcPr>
            <w:tcW w:type="dxa" w:w="4320"/>
            <w:vAlign w:val="center"/>
            <w:tcMar>
              <w:top w:w="90" w:type="dxa"/>
              <w:start w:w="110" w:type="dxa"/>
              <w:bottom w:w="90" w:type="dxa"/>
              <w:end w:w="110" w:type="dxa"/>
            </w:tcMar>
          </w:tcPr>
          <w:p>
            <w:r/>
            <w:r>
              <w:rPr>
                <w:rFonts w:ascii="Georgia" w:hAnsi="Georgia"/>
                <w:b w:val="0"/>
                <w:sz w:val="22"/>
              </w:rPr>
              <w:t>Runtime Consumer</w:t>
            </w:r>
          </w:p>
        </w:tc>
      </w:tr>
      <w:tr>
        <w:tc>
          <w:tcPr>
            <w:tcW w:type="dxa" w:w="4320"/>
            <w:vAlign w:val="center"/>
            <w:tcMar>
              <w:top w:w="90" w:type="dxa"/>
              <w:start w:w="110" w:type="dxa"/>
              <w:bottom w:w="90" w:type="dxa"/>
              <w:end w:w="110" w:type="dxa"/>
            </w:tcMar>
          </w:tcPr>
          <w:p>
            <w:r/>
            <w:r>
              <w:rPr>
                <w:rFonts w:ascii="Georgia" w:hAnsi="Georgia"/>
                <w:b w:val="0"/>
                <w:sz w:val="22"/>
              </w:rPr>
              <w:t>Execution Identifier</w:t>
            </w:r>
          </w:p>
        </w:tc>
        <w:tc>
          <w:tcPr>
            <w:tcW w:type="dxa" w:w="4320"/>
            <w:vAlign w:val="center"/>
            <w:tcMar>
              <w:top w:w="90" w:type="dxa"/>
              <w:start w:w="110" w:type="dxa"/>
              <w:bottom w:w="90" w:type="dxa"/>
              <w:end w:w="110" w:type="dxa"/>
            </w:tcMar>
          </w:tcPr>
          <w:p>
            <w:r/>
            <w:r>
              <w:rPr>
                <w:rFonts w:ascii="Georgia" w:hAnsi="Georgia"/>
                <w:b w:val="0"/>
                <w:sz w:val="22"/>
              </w:rPr>
              <w:t>Cognitive Engine</w:t>
            </w:r>
          </w:p>
        </w:tc>
      </w:tr>
    </w:tbl>
    <w:p>
      <w:pPr>
        <w:spacing w:after="0"/>
      </w:pPr>
    </w:p>
    <w:p>
      <w:pPr>
        <w:pStyle w:val="Heading1"/>
      </w:pPr>
      <w:r>
        <w:rPr>
          <w:b w:val="0"/>
        </w:rPr>
        <w:t>14. Execution-State Reference</w:t>
      </w:r>
    </w:p>
    <w:p>
      <w:pPr/>
      <w:r>
        <w:t>EIC does not define execution states or lifecycle semantics.</w:t>
      </w:r>
    </w:p>
    <w:p>
      <w:pPr/>
      <w:r>
        <w:t>Execution-state definitions and valid transitions are owned exclusively by ESM-001. EIC references only the Accepted handoff condition required to transfer an admitted invocation to EOM-001.</w:t>
      </w:r>
    </w:p>
    <w:p>
      <w:pPr>
        <w:pStyle w:val="Heading1"/>
      </w:pPr>
      <w:r>
        <w:t>15. Error Categories</w:t>
      </w:r>
    </w:p>
    <w:p>
      <w:pPr/>
      <w:r>
        <w:t>EIC defines invocation-level rejection categories only:</w:t>
      </w:r>
    </w:p>
    <w:p>
      <w:pPr>
        <w:pStyle w:val="ListBullet"/>
      </w:pPr>
      <w:r>
        <w:t>Invalid Invocation</w:t>
      </w:r>
    </w:p>
    <w:p>
      <w:pPr>
        <w:pStyle w:val="ListBullet"/>
      </w:pPr>
      <w:r>
        <w:t>Validation Failure</w:t>
      </w:r>
    </w:p>
    <w:p>
      <w:pPr>
        <w:pStyle w:val="ListBullet"/>
      </w:pPr>
      <w:r>
        <w:t>Invocation Rejection</w:t>
      </w:r>
    </w:p>
    <w:p>
      <w:pPr/>
      <w:r>
        <w:t>Protocol rejection is not execution failure. A rejected invocation receives no Execution Identifier and never enters EOM-001 or ESM-001 execution.</w:t>
      </w:r>
    </w:p>
    <w:p>
      <w:pPr/>
      <w:r>
        <w:t>Execution and runtime failures after admission are determined by EOM-001 and represented under ESM-001 semantics. Business failures remain governed by Business Capability Specifications.</w:t>
      </w:r>
    </w:p>
    <w:p>
      <w:pPr>
        <w:pStyle w:val="Heading1"/>
      </w:pPr>
      <w:r>
        <w:t>16. Versioning</w:t>
      </w:r>
    </w:p>
    <w:p>
      <w:pPr/>
      <w:r>
        <w:t>Runtime contracts use only the following version terms:</w:t>
      </w:r>
    </w:p>
    <w:p>
      <w:pPr>
        <w:pStyle w:val="ListBullet"/>
      </w:pPr>
      <w:r>
        <w:t>Protocol Version — version of the PAD/PAC protocol</w:t>
      </w:r>
    </w:p>
    <w:p>
      <w:pPr>
        <w:pStyle w:val="ListBullet"/>
      </w:pPr>
      <w:r>
        <w:t>Engine Version — version of the Cognitive Engine runtime</w:t>
      </w:r>
    </w:p>
    <w:p>
      <w:pPr>
        <w:pStyle w:val="ListBullet"/>
      </w:pPr>
      <w:r>
        <w:t>Capability Versions — versions of the underlying Business Capabilities</w:t>
      </w:r>
    </w:p>
    <w:p>
      <w:pPr/>
      <w:r>
        <w:t>EIC does not define alternate terms such as Invocation Version or Capability Version Set.</w:t>
      </w:r>
    </w:p>
    <w:p>
      <w:pPr>
        <w:pStyle w:val="Heading1"/>
      </w:pPr>
      <w:r>
        <w:t>17. Security Boundary</w:t>
      </w:r>
    </w:p>
    <w:p>
      <w:r>
        <w:rPr>
          <w:rFonts w:ascii="Georgia" w:hAnsi="Georgia"/>
          <w:b w:val="0"/>
          <w:sz w:val="22"/>
        </w:rPr>
        <w:t>The runtime architecture recognizes:</w:t>
      </w:r>
    </w:p>
    <w:p>
      <w:pPr>
        <w:pStyle w:val="ListBullet"/>
        <w:ind w:left="360" w:hanging="259"/>
      </w:pPr>
      <w:r>
        <w:rPr>
          <w:rFonts w:ascii="Georgia" w:hAnsi="Georgia"/>
          <w:b w:val="0"/>
          <w:sz w:val="22"/>
        </w:rPr>
        <w:t>Authentication Boundary</w:t>
      </w:r>
    </w:p>
    <w:p>
      <w:pPr>
        <w:pStyle w:val="ListBullet"/>
        <w:ind w:left="360" w:hanging="259"/>
      </w:pPr>
      <w:r>
        <w:rPr>
          <w:rFonts w:ascii="Georgia" w:hAnsi="Georgia"/>
          <w:b w:val="0"/>
          <w:sz w:val="22"/>
        </w:rPr>
        <w:t>Authorization Boundary</w:t>
      </w:r>
    </w:p>
    <w:p>
      <w:pPr>
        <w:pStyle w:val="ListBullet"/>
        <w:ind w:left="360" w:hanging="259"/>
      </w:pPr>
      <w:r>
        <w:rPr>
          <w:rFonts w:ascii="Georgia" w:hAnsi="Georgia"/>
          <w:b w:val="0"/>
          <w:sz w:val="22"/>
        </w:rPr>
        <w:t>Trust Boundary</w:t>
      </w:r>
    </w:p>
    <w:p>
      <w:r>
        <w:rPr>
          <w:rFonts w:ascii="Georgia" w:hAnsi="Georgia"/>
          <w:b w:val="0"/>
          <w:sz w:val="22"/>
        </w:rPr>
        <w:t>Authentication and authorization remain outside the Cognitive Engine.</w:t>
      </w:r>
    </w:p>
    <w:p>
      <w:pPr>
        <w:pStyle w:val="Heading1"/>
      </w:pPr>
      <w:r>
        <w:t>18. Non-Goals</w:t>
      </w:r>
    </w:p>
    <w:p>
      <w:r>
        <w:rPr>
          <w:rFonts w:ascii="Georgia" w:hAnsi="Georgia"/>
          <w:b w:val="0"/>
          <w:sz w:val="22"/>
        </w:rPr>
        <w:t>EIC does not define:</w:t>
      </w:r>
    </w:p>
    <w:p>
      <w:pPr>
        <w:pStyle w:val="ListBullet"/>
        <w:ind w:left="360" w:hanging="259"/>
      </w:pPr>
      <w:r>
        <w:rPr>
          <w:rFonts w:ascii="Georgia" w:hAnsi="Georgia"/>
          <w:b w:val="0"/>
          <w:sz w:val="22"/>
        </w:rPr>
        <w:t>Product Access Protocol</w:t>
      </w:r>
    </w:p>
    <w:p>
      <w:pPr>
        <w:pStyle w:val="ListBullet"/>
        <w:ind w:left="360" w:hanging="259"/>
      </w:pPr>
      <w:r>
        <w:rPr>
          <w:rFonts w:ascii="Georgia" w:hAnsi="Georgia"/>
          <w:b w:val="0"/>
          <w:sz w:val="22"/>
        </w:rPr>
        <w:t>Business semantics</w:t>
      </w:r>
    </w:p>
    <w:p>
      <w:pPr>
        <w:pStyle w:val="ListBullet"/>
        <w:ind w:left="360" w:hanging="259"/>
      </w:pPr>
      <w:r>
        <w:rPr>
          <w:rFonts w:ascii="Georgia" w:hAnsi="Georgia"/>
          <w:b w:val="0"/>
          <w:sz w:val="22"/>
        </w:rPr>
        <w:t>Ontology</w:t>
      </w:r>
    </w:p>
    <w:p>
      <w:pPr>
        <w:pStyle w:val="ListBullet"/>
        <w:ind w:left="360" w:hanging="259"/>
      </w:pPr>
      <w:r>
        <w:rPr>
          <w:rFonts w:ascii="Georgia" w:hAnsi="Georgia"/>
          <w:b w:val="0"/>
          <w:sz w:val="22"/>
        </w:rPr>
        <w:t>REST APIs</w:t>
      </w:r>
    </w:p>
    <w:p>
      <w:pPr>
        <w:pStyle w:val="ListBullet"/>
        <w:ind w:left="360" w:hanging="259"/>
      </w:pPr>
      <w:r>
        <w:rPr>
          <w:rFonts w:ascii="Georgia" w:hAnsi="Georgia"/>
          <w:b w:val="0"/>
          <w:sz w:val="22"/>
        </w:rPr>
        <w:t>DTOs</w:t>
      </w:r>
    </w:p>
    <w:p>
      <w:pPr>
        <w:pStyle w:val="ListBullet"/>
        <w:ind w:left="360" w:hanging="259"/>
      </w:pPr>
      <w:r>
        <w:rPr>
          <w:rFonts w:ascii="Georgia" w:hAnsi="Georgia"/>
          <w:b w:val="0"/>
          <w:sz w:val="22"/>
        </w:rPr>
        <w:t>Repository interfaces</w:t>
      </w:r>
    </w:p>
    <w:p>
      <w:pPr>
        <w:pStyle w:val="ListBullet"/>
        <w:ind w:left="360" w:hanging="259"/>
      </w:pPr>
      <w:r>
        <w:rPr>
          <w:rFonts w:ascii="Georgia" w:hAnsi="Georgia"/>
          <w:b w:val="0"/>
          <w:sz w:val="22"/>
        </w:rPr>
        <w:t>Database schemas</w:t>
      </w:r>
    </w:p>
    <w:p>
      <w:pPr>
        <w:pStyle w:val="ListBullet"/>
        <w:ind w:left="360" w:hanging="259"/>
      </w:pPr>
      <w:r>
        <w:rPr>
          <w:rFonts w:ascii="Georgia" w:hAnsi="Georgia"/>
          <w:b w:val="0"/>
          <w:sz w:val="22"/>
        </w:rPr>
        <w:t>Message formats</w:t>
      </w:r>
    </w:p>
    <w:p>
      <w:pPr>
        <w:pStyle w:val="ListBullet"/>
        <w:ind w:left="360" w:hanging="259"/>
      </w:pPr>
      <w:r>
        <w:rPr>
          <w:rFonts w:ascii="Georgia" w:hAnsi="Georgia"/>
          <w:b w:val="0"/>
          <w:sz w:val="22"/>
        </w:rPr>
        <w:t>UI</w:t>
      </w:r>
    </w:p>
    <w:p>
      <w:pPr>
        <w:pStyle w:val="ListBullet"/>
        <w:ind w:left="360" w:hanging="259"/>
      </w:pPr>
      <w:r>
        <w:rPr>
          <w:rFonts w:ascii="Georgia" w:hAnsi="Georgia"/>
          <w:b w:val="0"/>
          <w:sz w:val="22"/>
        </w:rPr>
        <w:t>Product implementation</w:t>
      </w:r>
    </w:p>
    <w:p>
      <w:pPr>
        <w:pStyle w:val="Heading1"/>
      </w:pPr>
      <w:r>
        <w:t>19. Traceability</w:t>
      </w:r>
    </w:p>
    <w:p>
      <w:pPr/>
      <w:r>
        <w:t>EIC-001 v1.3 traces to:</w:t>
      </w:r>
    </w:p>
    <w:p>
      <w:pPr>
        <w:pStyle w:val="ListBullet"/>
      </w:pPr>
      <w:r>
        <w:t>EAH-001</w:t>
      </w:r>
    </w:p>
    <w:p>
      <w:pPr>
        <w:pStyle w:val="ListBullet"/>
      </w:pPr>
      <w:r>
        <w:t>RFC-010</w:t>
      </w:r>
    </w:p>
    <w:p>
      <w:pPr>
        <w:pStyle w:val="ListBullet"/>
      </w:pPr>
      <w:r>
        <w:t>RFC-011</w:t>
      </w:r>
    </w:p>
    <w:p>
      <w:pPr>
        <w:pStyle w:val="ListBullet"/>
      </w:pPr>
      <w:r>
        <w:t>CDS-001</w:t>
      </w:r>
    </w:p>
    <w:p>
      <w:pPr>
        <w:pStyle w:val="ListBullet"/>
      </w:pPr>
      <w:r>
        <w:t>EOM-001 v1.3</w:t>
      </w:r>
    </w:p>
    <w:p>
      <w:pPr>
        <w:pStyle w:val="ListBullet"/>
      </w:pPr>
      <w:r>
        <w:t>ESM-001 v1.3</w:t>
      </w:r>
    </w:p>
    <w:p>
      <w:pPr>
        <w:pStyle w:val="ListBullet"/>
      </w:pPr>
      <w:r>
        <w:t>PAD-001 v1.4</w:t>
      </w:r>
    </w:p>
    <w:p>
      <w:pPr>
        <w:pStyle w:val="Heading1"/>
      </w:pPr>
      <w:r>
        <w:t>20. Architecture Philosophy</w:t>
      </w:r>
    </w:p>
    <w:p>
      <w:r>
        <w:rPr>
          <w:rFonts w:ascii="Georgia" w:hAnsi="Georgia"/>
          <w:b w:val="0"/>
          <w:sz w:val="22"/>
        </w:rPr>
        <w:t>The Cognitive Engine is a self-contained runtime responsible for establishing enterprise understanding.</w:t>
      </w:r>
    </w:p>
    <w:p>
      <w:r>
        <w:rPr>
          <w:rFonts w:ascii="Georgia" w:hAnsi="Georgia"/>
          <w:b w:val="0"/>
          <w:sz w:val="22"/>
        </w:rPr>
        <w:t>Runtime consumers request enterprise cognition.</w:t>
      </w:r>
    </w:p>
    <w:p>
      <w:r>
        <w:rPr>
          <w:rFonts w:ascii="Georgia" w:hAnsi="Georgia"/>
          <w:b w:val="0"/>
          <w:sz w:val="22"/>
        </w:rPr>
        <w:t>The Cognitive Engine determines how enterprise cognition is established.</w:t>
      </w:r>
    </w:p>
    <w:p>
      <w:r>
        <w:rPr>
          <w:rFonts w:ascii="Georgia" w:hAnsi="Georgia"/>
          <w:b w:val="0"/>
          <w:sz w:val="22"/>
        </w:rPr>
        <w:t>Internal capabilities remain isolated behind a single invocation boundary.</w:t>
      </w:r>
    </w:p>
    <w:p>
      <w:r>
        <w:rPr>
          <w:rFonts w:ascii="Georgia" w:hAnsi="Georgia"/>
          <w:b w:val="0"/>
          <w:sz w:val="22"/>
        </w:rPr>
        <w:t>The Cognitive Engine Invocation Architecture preserves the independence, authority, and encapsulation of the Cognitive Engine while enabling multiple products to consume enterprise cognition through stable runtime contracts.</w:t>
      </w:r>
    </w:p>
    <w:p>
      <w:r>
        <w:br w:type="page"/>
      </w:r>
    </w:p>
    <w:p>
      <w:pPr>
        <w:pStyle w:val="Heading1"/>
      </w:pPr>
      <w:r>
        <w:t>Clarification Release Amendment — EIC-001 v1.3</w:t>
      </w:r>
    </w:p>
    <w:p>
      <w:r>
        <w:t>Status: RELEASE CANDIDATE — NOT AUTHORITATIVE</w:t>
      </w:r>
    </w:p>
    <w:p>
      <w:pPr>
        <w:pStyle w:val="Heading2"/>
        <w:keepNext/>
      </w:pPr>
      <w:r>
        <w:t>Amendment record</w:t>
      </w:r>
    </w:p>
    <w:tbl>
      <w:tblPr>
        <w:tblStyle w:val="TableGrid"/>
        <w:tblW w:type="auto" w:w="0"/>
        <w:tblLayout w:type="fixed"/>
        <w:tblLook w:firstColumn="1" w:firstRow="1" w:lastColumn="0" w:lastRow="0" w:noHBand="0" w:noVBand="1" w:val="04A0"/>
      </w:tblPr>
      <w:tblGrid>
        <w:gridCol w:w="4320"/>
        <w:gridCol w:w="4320"/>
      </w:tblGrid>
      <w:tr>
        <w:tc>
          <w:tcPr>
            <w:tcW w:type="dxa" w:w="4320"/>
            <w:tcMar>
              <w:top w:w="80" w:type="dxa"/>
              <w:start w:w="120" w:type="dxa"/>
              <w:bottom w:w="80" w:type="dxa"/>
              <w:end w:w="120" w:type="dxa"/>
            </w:tcMar>
          </w:tcPr>
          <w:p>
            <w:pPr>
              <w:spacing w:after="40"/>
            </w:pPr>
            <w:r>
              <w:rPr>
                <w:rFonts w:ascii="Calibri" w:hAnsi="Calibri"/>
                <w:b/>
                <w:sz w:val="18"/>
              </w:rPr>
              <w:t>Item</w:t>
            </w:r>
          </w:p>
        </w:tc>
        <w:tc>
          <w:tcPr>
            <w:tcW w:type="dxa" w:w="4320"/>
            <w:tcMar>
              <w:top w:w="80" w:type="dxa"/>
              <w:start w:w="120" w:type="dxa"/>
              <w:bottom w:w="80" w:type="dxa"/>
              <w:end w:w="120" w:type="dxa"/>
            </w:tcMar>
          </w:tcPr>
          <w:p>
            <w:pPr>
              <w:spacing w:after="40"/>
            </w:pPr>
            <w:r>
              <w:rPr>
                <w:rFonts w:ascii="Calibri" w:hAnsi="Calibri"/>
                <w:b/>
                <w:sz w:val="18"/>
              </w:rPr>
              <w:t>Value</w:t>
            </w:r>
          </w:p>
        </w:tc>
      </w:tr>
      <w:tr>
        <w:tc>
          <w:tcPr>
            <w:tcW w:type="dxa" w:w="4320"/>
            <w:tcMar>
              <w:top w:w="80" w:type="dxa"/>
              <w:start w:w="120" w:type="dxa"/>
              <w:bottom w:w="80" w:type="dxa"/>
              <w:end w:w="120" w:type="dxa"/>
            </w:tcMar>
          </w:tcPr>
          <w:p>
            <w:pPr>
              <w:spacing w:after="40"/>
            </w:pPr>
            <w:r>
              <w:rPr>
                <w:rFonts w:ascii="Calibri" w:hAnsi="Calibri"/>
                <w:sz w:val="18"/>
              </w:rPr>
              <w:t>Governing artifact</w:t>
            </w:r>
          </w:p>
        </w:tc>
        <w:tc>
          <w:tcPr>
            <w:tcW w:type="dxa" w:w="4320"/>
            <w:tcMar>
              <w:top w:w="80" w:type="dxa"/>
              <w:start w:w="120" w:type="dxa"/>
              <w:bottom w:w="80" w:type="dxa"/>
              <w:end w:w="120" w:type="dxa"/>
            </w:tcMar>
          </w:tcPr>
          <w:p>
            <w:pPr>
              <w:spacing w:after="40"/>
            </w:pPr>
            <w:r>
              <w:rPr>
                <w:rFonts w:ascii="Calibri" w:hAnsi="Calibri"/>
                <w:sz w:val="18"/>
              </w:rPr>
              <w:t>EIC-001 v1.2</w:t>
            </w:r>
          </w:p>
        </w:tc>
      </w:tr>
      <w:tr>
        <w:tc>
          <w:tcPr>
            <w:tcW w:type="dxa" w:w="4320"/>
            <w:tcMar>
              <w:top w:w="80" w:type="dxa"/>
              <w:start w:w="120" w:type="dxa"/>
              <w:bottom w:w="80" w:type="dxa"/>
              <w:end w:w="120" w:type="dxa"/>
            </w:tcMar>
          </w:tcPr>
          <w:p>
            <w:pPr>
              <w:spacing w:after="40"/>
            </w:pPr>
            <w:r>
              <w:rPr>
                <w:rFonts w:ascii="Calibri" w:hAnsi="Calibri"/>
                <w:sz w:val="18"/>
              </w:rPr>
              <w:t>Exact sections affected</w:t>
            </w:r>
          </w:p>
        </w:tc>
        <w:tc>
          <w:tcPr>
            <w:tcW w:type="dxa" w:w="4320"/>
            <w:tcMar>
              <w:top w:w="80" w:type="dxa"/>
              <w:start w:w="120" w:type="dxa"/>
              <w:bottom w:w="80" w:type="dxa"/>
              <w:end w:w="120" w:type="dxa"/>
            </w:tcMar>
          </w:tcPr>
          <w:p>
            <w:pPr>
              <w:spacing w:after="40"/>
            </w:pPr>
            <w:r>
              <w:rPr>
                <w:rFonts w:ascii="Calibri" w:hAnsi="Calibri"/>
                <w:sz w:val="18"/>
              </w:rPr>
              <w:t>Invocation Request; Invocation Boundary; Security Boundary; Traceability</w:t>
            </w:r>
          </w:p>
        </w:tc>
      </w:tr>
      <w:tr>
        <w:tc>
          <w:tcPr>
            <w:tcW w:type="dxa" w:w="4320"/>
            <w:tcMar>
              <w:top w:w="80" w:type="dxa"/>
              <w:start w:w="120" w:type="dxa"/>
              <w:bottom w:w="80" w:type="dxa"/>
              <w:end w:w="120" w:type="dxa"/>
            </w:tcMar>
          </w:tcPr>
          <w:p>
            <w:pPr>
              <w:spacing w:after="40"/>
            </w:pPr>
            <w:r>
              <w:rPr>
                <w:rFonts w:ascii="Calibri" w:hAnsi="Calibri"/>
                <w:sz w:val="18"/>
              </w:rPr>
              <w:t>Change type</w:t>
            </w:r>
          </w:p>
        </w:tc>
        <w:tc>
          <w:tcPr>
            <w:tcW w:type="dxa" w:w="4320"/>
            <w:tcMar>
              <w:top w:w="80" w:type="dxa"/>
              <w:start w:w="120" w:type="dxa"/>
              <w:bottom w:w="80" w:type="dxa"/>
              <w:end w:w="120" w:type="dxa"/>
            </w:tcMar>
          </w:tcPr>
          <w:p>
            <w:pPr>
              <w:spacing w:after="40"/>
            </w:pPr>
            <w:r>
              <w:rPr>
                <w:rFonts w:ascii="Calibri" w:hAnsi="Calibri"/>
                <w:sz w:val="18"/>
              </w:rPr>
              <w:t>Normative additive contract clarification</w:t>
            </w:r>
          </w:p>
        </w:tc>
      </w:tr>
      <w:tr>
        <w:tc>
          <w:tcPr>
            <w:tcW w:type="dxa" w:w="4320"/>
            <w:tcMar>
              <w:top w:w="80" w:type="dxa"/>
              <w:start w:w="120" w:type="dxa"/>
              <w:bottom w:w="80" w:type="dxa"/>
              <w:end w:w="120" w:type="dxa"/>
            </w:tcMar>
          </w:tcPr>
          <w:p>
            <w:pPr>
              <w:spacing w:after="40"/>
            </w:pPr>
            <w:r>
              <w:rPr>
                <w:rFonts w:ascii="Calibri" w:hAnsi="Calibri"/>
                <w:sz w:val="18"/>
              </w:rPr>
              <w:t>Downstream dependency</w:t>
            </w:r>
          </w:p>
        </w:tc>
        <w:tc>
          <w:tcPr>
            <w:tcW w:type="dxa" w:w="4320"/>
            <w:tcMar>
              <w:top w:w="80" w:type="dxa"/>
              <w:start w:w="120" w:type="dxa"/>
              <w:bottom w:w="80" w:type="dxa"/>
              <w:end w:w="120" w:type="dxa"/>
            </w:tcMar>
          </w:tcPr>
          <w:p>
            <w:pPr>
              <w:spacing w:after="40"/>
            </w:pPr>
            <w:r>
              <w:rPr>
                <w:rFonts w:ascii="Calibri" w:hAnsi="Calibri"/>
                <w:sz w:val="18"/>
              </w:rPr>
              <w:t>PAD-001, EOM-001, CDD-010 clarification, RFC-014, CIM-001, future CDD-011</w:t>
            </w:r>
          </w:p>
        </w:tc>
      </w:tr>
    </w:tbl>
    <w:p>
      <w:pPr>
        <w:pStyle w:val="Heading2"/>
        <w:keepNext/>
      </w:pPr>
      <w:r>
        <w:t>Current authoritative language</w:t>
      </w:r>
    </w:p>
    <w:p>
      <w:r>
        <w:t>The Invocation Request contains “Protocol Version, Correlation Identifier, Request Identifier, Session Identifier, Request Classification, Opaque Payload.” The payload “SHALL NOT contain capability sequence, business semantics, or canonical ontology modifications.”</w:t>
      </w:r>
    </w:p>
    <w:p>
      <w:pPr>
        <w:pStyle w:val="Heading2"/>
        <w:keepNext/>
      </w:pPr>
      <w:r>
        <w:t>Proposed additive language</w:t>
      </w:r>
    </w:p>
    <w:p>
      <w:r>
        <w:t>An admitted invocation may carry Trusted Runtime Control Metadata separately from the Opaque Payload. For the RFC-014 bounded MVP it contains:</w:t>
      </w:r>
    </w:p>
    <w:p>
      <w:pPr>
        <w:pStyle w:val="ListNumber"/>
      </w:pPr>
      <w:r>
        <w:t>immutable AuthorityContext conforming to CIM-001; and</w:t>
      </w:r>
    </w:p>
    <w:p>
      <w:pPr>
        <w:pStyle w:val="ListNumber"/>
      </w:pPr>
      <w:r>
        <w:t>runtime-owned timezone-aware UTC admitted_at.</w:t>
      </w:r>
    </w:p>
    <w:p>
      <w:r>
        <w:t>Trusted Runtime Control Metadata is not business payload, canonical ontology, capability sequencing, or a business artifact. AuthorityContext contains verified authority claims and references but no credential secrets. Claims embedded in Opaque Payload are never authoritative.</w:t>
      </w:r>
    </w:p>
    <w:p>
      <w:r>
        <w:t>The Engine Access Facade validates schema, trust source, request/correlation equality, expiry, and authorization reference before admission. EIC preserves the metadata unchanged when transferring ownership to EOM. Business payload remains opaque to EIC and EOM.</w:t>
      </w:r>
    </w:p>
    <w:p>
      <w:pPr>
        <w:pStyle w:val="Heading2"/>
        <w:keepNext/>
      </w:pPr>
      <w:r>
        <w:t>Reason</w:t>
      </w:r>
    </w:p>
    <w:p>
      <w:r>
        <w:t>Adapters need trusted authority and timing provenance without weakening opaque invocation or allowing caller payload claims to control authorization.</w:t>
      </w:r>
    </w:p>
    <w:p>
      <w:pPr>
        <w:pStyle w:val="Heading2"/>
        <w:keepNext/>
      </w:pPr>
      <w:r>
        <w:t>Compatibility</w:t>
      </w:r>
    </w:p>
    <w:p>
      <w:r>
        <w:t>Additive at architecture level but not wire-compatible with implementations that cannot accept a separate control context. Existing opaque payload semantics remain unchanged. An implementation CDD must version the invocation contract and authorize exact file changes.</w:t>
      </w:r>
    </w:p>
    <w:p>
      <w:pPr>
        <w:pStyle w:val="Heading2"/>
        <w:keepNext/>
      </w:pPr>
      <w:r>
        <w:t>Governance actions</w:t>
      </w:r>
    </w:p>
    <w:p>
      <w:r>
        <w:t>After approval: publish EIC-001 v1.3; reconcile PAD and EOM; approve the separate CDD-010 clarification; update Registry/dependencies/checksums/manifest; run protocol compatibility and release gates.</w:t>
      </w:r>
    </w:p>
    <w:p>
      <w:pPr>
        <w:pStyle w:val="Heading2"/>
        <w:keepNext/>
      </w:pPr>
      <w:r>
        <w:t>Validation and rollback</w:t>
      </w:r>
    </w:p>
    <w:p>
      <w:r>
        <w:t>Validate payload opacity, metadata immutability, expiry, correlation equality, secret exclusion, unauthorized-claim rejection, and protocol version negotiation. Rollback must reject the new contract version rather than move AuthorityContext into Opaque Payload.</w:t>
      </w:r>
    </w:p>
    <w:p>
      <w:r>
        <w:br w:type="page"/>
      </w:r>
    </w:p>
    <w:p>
      <w:pPr>
        <w:pStyle w:val="Heading1"/>
      </w:pPr>
      <w:r>
        <w:t>Invocation Compatibility Clarification</w:t>
      </w:r>
    </w:p>
    <w:p>
      <w:r>
        <w:t>Status: FROZEN upon Registry publication</w:t>
      </w:r>
    </w:p>
    <w:p>
      <w:pPr>
        <w:pStyle w:val="Heading2"/>
      </w:pPr>
      <w:r>
        <w:t>Additive authoritative language</w:t>
      </w:r>
    </w:p>
    <w:p>
      <w:r>
        <w:t>1. Existing invocations valid under the released CDD-010 contract remain valid and retain their original meaning.</w:t>
      </w:r>
    </w:p>
    <w:p>
      <w:r>
        <w:t>2. Absence of AuthorityContext or its version is permitted only for explicitly supported legacy Protocol Versions.</w:t>
      </w:r>
    </w:p>
    <w:p>
      <w:r>
        <w:t>3. A legacy invocation without AuthorityContext may execute only operations already authorized under the legacy contract. It cannot receive new authority through inference or defaults.</w:t>
      </w:r>
    </w:p>
    <w:p>
      <w:r>
        <w:t>4. New invocation versions requiring trusted control metadata must provide a supported AuthorityContext version at the trusted boundary.</w:t>
      </w:r>
    </w:p>
    <w:p>
      <w:r>
        <w:t>5. Missing required metadata, malformed versions, and conflicting version declarations produce deterministic Validation Failure before admission and capability execution.</w:t>
      </w:r>
    </w:p>
    <w:p>
      <w:r>
        <w:t>6. Unsupported Protocol Versions produce deterministic Invalid Invocation before admission and create no Execution Identifier.</w:t>
      </w:r>
    </w:p>
    <w:p>
      <w:r>
        <w:t>7. AuthorityContext supplied with a legacy Protocol Version is Validation Failure and is never ignored.</w:t>
      </w:r>
    </w:p>
    <w:p>
      <w:r>
        <w:t>8. Automatic downgrade, silent coercion, semantic reinterpretation, default-to-latest behavior, and substitution of caller payload claims for trusted authority metadata are prohibited.</w:t>
      </w:r>
    </w:p>
    <w:p>
      <w:r>
        <w:t>9. Version negotiation may select only an explicitly supported compatible version and records requested version, selected version, compatibility rule, and Correlation Identifier.</w:t>
      </w:r>
    </w:p>
    <w:p>
      <w:pPr>
        <w:pStyle w:val="ListNumber"/>
      </w:pPr>
      <w:r>
        <w:t>Rejection and compatibility decisions expose only safe diagnostic codes and never credentials, tokens, or sensitive authority details.</w:t>
      </w:r>
    </w:p>
    <w:p>
      <w:pPr>
        <w:pStyle w:val="ListNumber"/>
      </w:pPr>
      <w:r>
        <w:t>Version rejection is protocol rejection, not ESM execution failure.</w:t>
      </w:r>
    </w:p>
    <w:p>
      <w:pPr>
        <w:pStyle w:val="Heading2"/>
      </w:pPr>
      <w:r>
        <w:t>Supported behavior at this release</w:t>
      </w:r>
    </w:p>
    <w:p>
      <w:r>
        <w:t>The released CDD-010 Protocol Version remains the legacy version and its behavior is unchanged. RFC-014/CIM-001 trusted-control integration requires a future explicitly identified Protocol Version authorized by CDD-011 or a later work order. No new production Protocol Version or default is created by this clarification.</w:t>
      </w:r>
    </w:p>
    <w:p>
      <w:pPr>
        <w:pStyle w:val="Heading2"/>
      </w:pPr>
      <w:r>
        <w:t>Traceability</w:t>
      </w:r>
    </w:p>
    <w:p>
      <w:r>
        <w:t>PAD-001 v1.5; EIC-001 v1.3; EOM-001 v1.3; ESM-001 v1.2; CDD-010 v1.3; CDD-010 Trusted Runtime Control Metadata Clarification v1.0; RFC-014 v1.1; CIM-001 v1.1.</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Governance review copy — authority is assigned only by architecture/INDEX.md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5A5A5A"/>
        <w:sz w:val="16"/>
      </w:rPr>
      <w:t>CTEC Architecture | EIC-001 v1.3 | RELEASE CANDIDATE — NOT AUTHORITATIVE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Georgia" w:hAnsi="Georg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ptos" w:hAnsi="Aptos"/>
      <w:b/>
      <w:bCs/>
      <w:color w:val="4472C4"/>
      <w:sz w:val="24"/>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EIC-001 — Cognitive Engine Invocation Architecture</dc:title>
  <dc:subject>Runtime Architecture Specification</dc:subject>
  <dc:creator>CTEC Architecture</dc:creator>
  <cp:keywords/>
  <dc:description>Dependency reconciliation clarification: PAD-001 v1.3 compatibility confirmed.</dc:description>
  <cp:lastModifiedBy/>
  <cp:revision>1</cp:revision>
  <dcterms:created xsi:type="dcterms:W3CDTF">2013-12-23T23:15:00Z</dcterms:created>
  <dcterms:modified xsi:type="dcterms:W3CDTF">2013-12-23T23:15:00Z</dcterms:modified>
  <cp:category/>
  <cp:version>1.2</cp:version>
</cp:coreProperties>
</file>