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80"/>
      </w:pPr>
      <w:r>
        <w:rPr>
          <w:rFonts w:ascii="Calibri" w:hAnsi="Calibri"/>
          <w:b/>
          <w:color w:val="2E74B5"/>
          <w:sz w:val="32"/>
        </w:rPr>
        <w:t>RFC-012</w:t>
      </w:r>
    </w:p>
    <w:p>
      <w:pPr>
        <w:spacing w:after="160"/>
      </w:pPr>
      <w:r>
        <w:rPr>
          <w:rFonts w:ascii="Calibri" w:hAnsi="Calibri"/>
          <w:b/>
          <w:color w:val="243447"/>
          <w:sz w:val="56"/>
        </w:rPr>
        <w:t>Constitutional Reconciliation</w:t>
      </w:r>
    </w:p>
    <w:p>
      <w:pPr>
        <w:spacing w:after="480"/>
      </w:pPr>
      <w:r>
        <w:rPr>
          <w:color w:val="505A64"/>
          <w:sz w:val="26"/>
        </w:rPr>
        <w:t>Reconciliation of RFC-0001 through RFC-0009 with the current ECOM constitutional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rPr>
          <w:tblHeader w:val="true"/>
        </w:trP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Document ID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RFC-012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1.0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FROZEN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Document Type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Architecture Decision / Constitutional Reconciliation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Authority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ECOM Architecture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Supersedes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RFC-0001 through RFC-0009 as authoritative architecture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Does Not Supersede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Historical text retained for traceability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Effective Baseline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CTEC Architecture Baseline v1.1</w:t>
            </w:r>
          </w:p>
        </w:tc>
      </w:tr>
    </w:tbl>
    <w:p>
      <w:pPr>
        <w:spacing w:after="40"/>
      </w:pPr>
    </w:p>
    <w:p>
      <w:pPr>
        <w:pStyle w:val="Heading1"/>
      </w:pPr>
      <w:r>
        <w:t>1. Purpose</w:t>
      </w:r>
    </w:p>
    <w:p>
      <w:r>
        <w:t>RFC-012 resolves the constitutional conflict between the original RFC-0001 through RFC-0009 series and the current architecture established by EAH-001, RFC-010, RFC-011, the Canonical Enterprise Ontology, and approved Business Capability Specifications.</w:t>
      </w:r>
    </w:p>
    <w:p>
      <w:r>
        <w:t>This RFC changes authority and precedence only. It does not rewrite the historical RFCs, create business semantics, modify the Canonical Enterprise Ontology, authorize implementation, or introduce technology.</w:t>
      </w:r>
    </w:p>
    <w:p>
      <w:pPr>
        <w:pStyle w:val="Heading1"/>
      </w:pPr>
      <w:r>
        <w:t>2. Decision</w:t>
      </w:r>
    </w:p>
    <w:p>
      <w:r>
        <w:rPr>
          <w:b/>
        </w:rPr>
        <w:t>RFC-0001 through RFC-0009 are superseded.</w:t>
      </w:r>
    </w:p>
    <w:p>
      <w:r>
        <w:t>They remain preserved as historical constitutional source material but SHALL NOT govern implementation, authorize business artifacts, define canonical entities or attributes, establish capability order, or override current architecture.</w:t>
      </w:r>
    </w:p>
    <w:p>
      <w:r>
        <w:t>A principle from a superseded RFC remains authoritative only when this RFC explicitly classifies it as Retained and identifies its current authority. All other content is either Superseded or Deferred as defined below.</w:t>
      </w:r>
    </w:p>
    <w:p>
      <w:pPr>
        <w:pStyle w:val="Heading1"/>
      </w:pPr>
      <w:r>
        <w:t>3. Constitutional Authority After Reconciliation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3600"/>
        <w:gridCol w:w="4536"/>
      </w:tblGrid>
      <w:tr>
        <w:trPr>
          <w:tblHeader w:val="true"/>
        </w:trP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Precedence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Authority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EAH-001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Overall architecture and document hierarchy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Current RFCs beginning with RFC-010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Architectural decisions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Canonical Enterprise Ontology and governed models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Enterprise reality, canonical structure, attributes, and persistence contract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Approved Business Capability Specifications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Capability semantics and business artifacts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CDDs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Engineering implementation work orders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Code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Runtime implementation</w:t>
            </w:r>
          </w:p>
        </w:tc>
      </w:tr>
    </w:tbl>
    <w:p>
      <w:pPr>
        <w:spacing w:after="40"/>
      </w:pPr>
    </w:p>
    <w:p>
      <w:pPr>
        <w:pStyle w:val="Heading1"/>
      </w:pPr>
      <w:r>
        <w:t>4. Classification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Retained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The principle remains valid only in the restated form and under the current authority identified by RFC-012.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Superseded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The earlier statement no longer has architectural authority and must not guide implementation.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Deferred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The subject may remain relevant, but its semantics and artifacts are not currently authorized. A future RFC and, where applicable, a Business Capability Specification are required before implementation.</w:t>
            </w:r>
          </w:p>
        </w:tc>
      </w:tr>
    </w:tbl>
    <w:p>
      <w:pPr>
        <w:spacing w:after="40"/>
      </w:pPr>
    </w:p>
    <w:p>
      <w:pPr>
        <w:pStyle w:val="Heading1"/>
      </w:pPr>
      <w:r>
        <w:t>5. Retained Principles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232"/>
        <w:gridCol w:w="4464"/>
      </w:tblGrid>
      <w:tr>
        <w:trPr>
          <w:tblHeader w:val="true"/>
        </w:trP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Retained principle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Historical source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Current authority / reconciled meaning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Enterprise-first and technology-independent architecture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RFC-0001 guiding principles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EAH-001 and TAS-001. Architecture defines business meaning independently of implementation technology.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Institutional history is immutable while understanding evolves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RFC-0001 EK-101; RFC-0003 IA-T1 and IA-T8; RFC-0008 ED-103 and ED-104; RFC-0009 CP-001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RFC-011. Records and transition history are immutable; new understanding creates new records; currentness is determined externally.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Institutional meaning is distinct from source data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RFC-0002 EO-101, EO-102 and EO-111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RFC-010, CEO, SRM-001 and ASM-001. Semantic Resolution interprets; Assertion establishes assertions only after required upstream resolution.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Ontology and knowledge representation are distinct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RFC-0002 EO-113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RFC-010 and EAH-001. The CEO represents enterprise reality; cognitive capabilities consume it and do not redefine it.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Provenance and explainability are required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RFC-0003 IA-104; RFC-0007 key discoveries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EAH-001 and the current BCS chain. Cognitive records remain traceable to their authorized inputs and explanations.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Capabilities must remain separated by responsibility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RFC-0003 IA-106; RFC-0005 DA-100; RFC-0006 EM-103; RFC-0007 ER-100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RFC-010, EAH-001 and approved BCS documents. Each capability owns only its constitutional responsibility and may not bypass upstream capabilities.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Governance owns approval and institutional standing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RFC-0003 IA-101; RFC-0009 EL-102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EAH-001, AEM-001, KRM-001, GEM-001 and GRM-001. Knowledge evaluates acceptance evidence; Governance produces or consumes governed approval/exception evidence as specified and grants standing.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Historical outcomes remain traceable in original context and time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RFC-0006 EM-102 and EM-T2; RFC-0008 ED-104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RFC-011 and current BCS effective-dating rules. Historical records remain immutable and currentness is externally derived.</w:t>
            </w:r>
          </w:p>
        </w:tc>
      </w:tr>
    </w:tbl>
    <w:p>
      <w:pPr>
        <w:spacing w:after="40"/>
      </w:pPr>
    </w:p>
    <w:p>
      <w:pPr>
        <w:pStyle w:val="Heading1"/>
      </w:pPr>
      <w:r>
        <w:t>6. Superseded Principles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232"/>
        <w:gridCol w:w="4608"/>
      </w:tblGrid>
      <w:tr>
        <w:trPr>
          <w:tblHeader w:val="true"/>
        </w:trP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Superseded area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Historical source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Reason / replacement authority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Original enterprise-knowledge ontology, including Primary and Dependent Entities and attributes as the smallest units of institutional truth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RFC-0001 EK-102 through EK-110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Replaced by RFC-010, CDD-003 Revision 2, the Logical Model, Physical Model, and EAD-001. No old ontology term authorizes a CEO change.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Institutional Acts as the universal mechanism by which knowledge is created or changed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RFC-0001 EK-100; RFC-0003 IA-100 through IA-111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Replaced by the current capability chain and approved BCS semantics. Candidate source data, assertions, knowledge evaluation, decisions, and governance have distinct boundaries.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The original linear flow beginning with Enterprise Knowledge and Knowledge Graph before identity and semantic resolution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RFC-0002 architecture; RFC-0003 and RFC-0004 constitutional flows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Replaced by RFC-010: CEO, Identity Resolution, Semantic Resolution, Assertion, Knowledge, Decision, Governance, Experience, Learning.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Knowledge defined as Enterprise Facts, Enterprise Ontology, and Enterprise Knowledge Graph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RFC-0001 section 8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Replaced by RFC-010 and KRM-001. Only an Institutionalized Knowledge Evaluation establishes Institutional Knowledge.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Reasons becoming Enterprise Knowledge directly through Governance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RFC-0007 ER-T5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Replaced by ASM-001 and KRM-001. Institutional Knowledge derives from exactly one Assertion evaluated with the required acceptance evidence.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Decision as choosing and executing an institutional outcome with mutable Decision State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RFC-0008 ED-100 through ED-107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Replaced by DRM-001 and RFC-011. Decision evaluates Institutional Knowledge and produces a policy-evaluated recommendation; immutable records contain no mutable lifecycle state.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Old RFCs as direct implementation authority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RFC-0001 through RFC-0009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Superseded by the EAH/RFC/CEO/BCS/CDD hierarchy. Historical principles cannot authorize entities, attributes, relationships, services, or implementation artifacts.</w:t>
            </w:r>
          </w:p>
        </w:tc>
      </w:tr>
    </w:tbl>
    <w:p>
      <w:pPr>
        <w:spacing w:after="40"/>
      </w:pPr>
    </w:p>
    <w:p>
      <w:pPr>
        <w:pStyle w:val="Heading1"/>
      </w:pPr>
      <w:r>
        <w:t>7. Deferred Principles and Capabilities</w:t>
      </w:r>
    </w:p>
    <w:p>
      <w:r>
        <w:t>The following subjects are not rejected as future architecture, but their historical definitions are not authoritative. They require a new current RFC and an approved Business Capability Specification before implementation.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232"/>
        <w:gridCol w:w="4608"/>
      </w:tblGrid>
      <w:tr>
        <w:trPr>
          <w:tblHeader w:val="true"/>
        </w:trP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Deferred subject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Historical source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Condition for future authority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Enterprise Knowledge Graph, Institutional Predication, and graph-traversal semantics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RFC-0004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New RFC must reconcile the capability with the CEO and current BCS chain; the relevant CDD must explicitly authorize artifacts.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Decision Assembly, Occasion, Pattern of Relevance, and Discovered Knowledge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RFC-0005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New RFC and BCS must define current business semantics without modifying the CEO.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Enterprise Memory and Experience reactivation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RFC-0006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Experience BCS and assigned CDD must define authorized artifacts and RFC-011 lifecycle semantics.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Enterprise Reasoning, Reason, and Reason Graph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RFC-0007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New RFC and Reasoning BCS must establish placement in the current capability order and upstream dependencies.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Enterprise Learning and implied institutional capability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RFC-0009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Learning BCS and assigned CDD must define how learning consumes governed experience without rewriting history or bypassing Governance.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Institutional Acts and Institutional Actions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RFC-0003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 future RFC may reintroduce them only with explicit CEO-boundary analysis and approved capability semantics.</w:t>
            </w:r>
          </w:p>
        </w:tc>
      </w:tr>
    </w:tbl>
    <w:p>
      <w:pPr>
        <w:spacing w:after="40"/>
      </w:pPr>
    </w:p>
    <w:p>
      <w:pPr>
        <w:pStyle w:val="Heading1"/>
      </w:pPr>
      <w:r>
        <w:t>8. RFC-by-RFC Disposition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800"/>
        <w:gridCol w:w="6048"/>
      </w:tblGrid>
      <w:tr>
        <w:trPr>
          <w:tblHeader w:val="true"/>
        </w:trP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RFC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Disposition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Continuing value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SUPERSEDED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Historical source for enterprise-first, technology-independent, immutable-history principles restated in Section 5.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SUPERSEDED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Historical source for institutional meaning and ontology/graph distinction; current ontology authority is RFC-010 and the CEO.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SUPERSEDED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Governance, provenance, and immutability principles retained only as restated; Institutional Acts are deferred.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SUPERSEDED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Knowledge Graph concepts deferred.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SUPERSEDED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Decision Assembly concepts deferred.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SUPERSEDED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Memory and experience-reactivation concepts deferred.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SUPERSEDED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Reasoning concepts deferred.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SUPERSEDED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Decision semantics replaced by DRM-001 and RFC-011.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RFC-0009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SUPERSEDED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Continuity principle retained as restated; Learning semantics deferred.</w:t>
            </w:r>
          </w:p>
        </w:tc>
      </w:tr>
    </w:tbl>
    <w:p>
      <w:pPr>
        <w:spacing w:after="40"/>
      </w:pPr>
    </w:p>
    <w:p>
      <w:pPr>
        <w:pStyle w:val="Heading1"/>
      </w:pPr>
      <w:r>
        <w:t>9. Implementation Rule</w:t>
      </w:r>
    </w:p>
    <w:p>
      <w:r>
        <w:t>No CDD, implementation, test, review, or architecture decision may cite RFC-0001 through RFC-0009 as present authority. Historical citations are permitted only for traceability and must identify the cited RFC as superseded.</w:t>
      </w:r>
    </w:p>
    <w:p>
      <w:r>
        <w:t>If a current architecture document conflicts with a superseded RFC, the current architecture document wins. If current documents conflict with each other, implementation SHALL stop and request a new clarification RFC; a superseded RFC SHALL NOT be used as a tie-breaker.</w:t>
      </w:r>
    </w:p>
    <w:p>
      <w:pPr>
        <w:pStyle w:val="Heading1"/>
      </w:pPr>
      <w:r>
        <w:t>10. Architecture Drift Validation</w:t>
      </w:r>
    </w:p>
    <w:p>
      <w:pPr>
        <w:pStyle w:val="ListBullet"/>
      </w:pPr>
      <w:r>
        <w:t>No Canonical Enterprise Ontology entity is introduced, removed, or modified.</w:t>
      </w:r>
    </w:p>
    <w:p>
      <w:pPr>
        <w:pStyle w:val="ListBullet"/>
      </w:pPr>
      <w:r>
        <w:t>No canonical attribute or relationship is introduced or modified.</w:t>
      </w:r>
    </w:p>
    <w:p>
      <w:pPr>
        <w:pStyle w:val="ListBullet"/>
      </w:pPr>
      <w:r>
        <w:t>No Business Capability Specification is modified.</w:t>
      </w:r>
    </w:p>
    <w:p>
      <w:pPr>
        <w:pStyle w:val="ListBullet"/>
      </w:pPr>
      <w:r>
        <w:t>No implementation artifact or technology is authorized.</w:t>
      </w:r>
    </w:p>
    <w:p>
      <w:pPr>
        <w:pStyle w:val="ListBullet"/>
      </w:pPr>
      <w:r>
        <w:t>RFC-0001 through RFC-0009 remain preserved verbatim for historical traceability.</w:t>
      </w:r>
    </w:p>
    <w:p>
      <w:pPr>
        <w:pStyle w:val="ListBullet"/>
      </w:pPr>
      <w:r>
        <w:t>This RFC changes precedence and authority only.</w:t>
      </w:r>
    </w:p>
    <w:p>
      <w:pPr>
        <w:pStyle w:val="Heading1"/>
      </w:pPr>
      <w:r>
        <w:t>11. Decision Summary</w:t>
      </w:r>
    </w:p>
    <w:p>
      <w:r>
        <w:rPr>
          <w:b/>
        </w:rPr>
        <w:t>RFC-0001 through RFC-0009: SUPERSEDED.</w:t>
      </w:r>
    </w:p>
    <w:p>
      <w:r>
        <w:t>Retained principles survive only through the explicit restatements and current authorities identified in RFC-012. Superseded principles have no implementation authority. Deferred principles require future constitutional authorization.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E78"/>
        <w:sz w:val="16"/>
      </w:rPr>
      <w:t xml:space="preserve">CTEC Architecture  |  FROZEN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6E78"/>
        <w:sz w:val="16"/>
      </w:rPr>
      <w:t>RFC-012  |  CONSTITUTIONAL RECONCILIATION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RFC-012 — Constitutional Reconciliation</dc:title>
  <dc:subject>Reconciliation of RFC-0001 through RFC-0009 with current ECOM architecture</dc:subject>
  <dc:creator>CTEC Architecture</dc:creator>
  <cp:keywords>CTEC, ECOM, architecture, RFC, constitutional reconciliation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