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ERM-001 — Enterprise Entity Resolution Business Model</w:t>
      </w:r>
    </w:p>
    <w:p>
      <w:pPr>
        <w:jc w:val="center"/>
      </w:pPr>
      <w:r>
        <w:rPr>
          <w:b/>
        </w:rPr>
        <w:t>Version 2.0</w:t>
        <w:br/>
      </w:r>
      <w:r>
        <w:t>Status: FROZEN</w:t>
        <w:br/>
      </w:r>
      <w:r>
        <w:t>Document Type: Business Capability Model (BCM)</w:t>
        <w:br/>
      </w:r>
      <w:r>
        <w:t>Authoritative for: CDD-004</w:t>
        <w:br/>
      </w:r>
      <w:r>
        <w:t>Supersedes: ERM-001 v1.1</w:t>
      </w:r>
    </w:p>
    <w:p>
      <w:pPr>
        <w:pStyle w:val="Heading1"/>
      </w:pPr>
      <w:r>
        <w:t>1. Executive Summary</w:t>
      </w:r>
    </w:p>
    <w:p>
      <w:r>
        <w:t>Enterprise Entity Resolution (EER) is the first cognitive capability in ECOM. It establishes the enterprise's current understanding of which existing Enterprise Entity is represented by operational information while preserving provenance, explainability, and history.</w:t>
      </w:r>
    </w:p>
    <w:p>
      <w:pPr>
        <w:pStyle w:val="Heading1"/>
      </w:pPr>
      <w:r>
        <w:t>2. Purpose</w:t>
      </w:r>
    </w:p>
    <w:p>
      <w:r>
        <w:t>Determine the canonical Enterprise Entity referenced by operational information represented through Source Objects.</w:t>
      </w:r>
    </w:p>
    <w:p>
      <w:r>
        <w:t>EER SHALL NOT create or modify Enterprise Entities. It records enterprise understanding only.</w:t>
      </w:r>
    </w:p>
    <w:p>
      <w:pPr>
        <w:pStyle w:val="Heading1"/>
      </w:pPr>
      <w:r>
        <w:t>3. Capability Boundary</w:t>
      </w:r>
    </w:p>
    <w:p>
      <w:pPr>
        <w:pStyle w:val="Heading2"/>
      </w:pPr>
      <w:r>
        <w:t>Owns</w:t>
      </w:r>
    </w:p>
    <w:p>
      <w:r>
        <w:t>• Candidate Discovery</w:t>
      </w:r>
    </w:p>
    <w:p>
      <w:r>
        <w:t>• Candidate Evaluation</w:t>
      </w:r>
    </w:p>
    <w:p>
      <w:r>
        <w:t>• Enterprise Entity Resolution</w:t>
      </w:r>
    </w:p>
    <w:p>
      <w:r>
        <w:t>• Business Confidence Classification</w:t>
      </w:r>
    </w:p>
    <w:p>
      <w:r>
        <w:t>• Resolution Explanation</w:t>
      </w:r>
    </w:p>
    <w:p>
      <w:r>
        <w:t>• Enterprise Entity Resolution Record</w:t>
      </w:r>
    </w:p>
    <w:p>
      <w:pPr>
        <w:pStyle w:val="Heading2"/>
      </w:pPr>
      <w:r>
        <w:t>Does Not Own</w:t>
      </w:r>
    </w:p>
    <w:p>
      <w:r>
        <w:t>• Canonical Enterprise Ontology</w:t>
      </w:r>
    </w:p>
    <w:p>
      <w:r>
        <w:t>• Semantic Resolution</w:t>
      </w:r>
    </w:p>
    <w:p>
      <w:r>
        <w:t>• Assertions</w:t>
      </w:r>
    </w:p>
    <w:p>
      <w:r>
        <w:t>• Knowledge</w:t>
      </w:r>
    </w:p>
    <w:p>
      <w:r>
        <w:t>• Decision</w:t>
      </w:r>
    </w:p>
    <w:p>
      <w:r>
        <w:t>• Governance</w:t>
      </w:r>
    </w:p>
    <w:p>
      <w:r>
        <w:t>• Authentication / IAM</w:t>
      </w:r>
    </w:p>
    <w:p>
      <w:r>
        <w:t>• Enterprise Entity creation</w:t>
      </w:r>
    </w:p>
    <w:p>
      <w:r>
        <w:t>• Enterprise Entity modification</w:t>
      </w:r>
    </w:p>
    <w:p>
      <w:pPr>
        <w:pStyle w:val="Heading1"/>
      </w:pPr>
      <w:r>
        <w:t>4. Cognitive Principles</w:t>
      </w:r>
    </w:p>
    <w:tbl>
      <w:tblPr>
        <w:tblStyle w:val="TableGrid"/>
        <w:tblW w:type="auto" w:w="0"/>
        <w:tblLook w:firstColumn="1" w:firstRow="1" w:lastColumn="0" w:lastRow="0" w:noHBand="0" w:noVBand="1" w:val="04A0"/>
      </w:tblPr>
      <w:tblGrid>
        <w:gridCol w:w="4320"/>
        <w:gridCol w:w="4320"/>
      </w:tblGrid>
      <w:tr>
        <w:tc>
          <w:tcPr>
            <w:tcW w:type="dxa" w:w="4320"/>
          </w:tcPr>
          <w:p>
            <w:r>
              <w:t>Principle</w:t>
            </w:r>
          </w:p>
        </w:tc>
        <w:tc>
          <w:tcPr>
            <w:tcW w:type="dxa" w:w="4320"/>
          </w:tcPr>
          <w:p>
            <w:r>
              <w:t>Statement</w:t>
            </w:r>
          </w:p>
        </w:tc>
      </w:tr>
      <w:tr>
        <w:tc>
          <w:tcPr>
            <w:tcW w:type="dxa" w:w="4320"/>
          </w:tcPr>
          <w:p>
            <w:r>
              <w:t>CP-001</w:t>
            </w:r>
          </w:p>
        </w:tc>
        <w:tc>
          <w:tcPr>
            <w:tcW w:type="dxa" w:w="4320"/>
          </w:tcPr>
          <w:p>
            <w:r>
              <w:t>Only one active Enterprise Entity Resolution Record may exist for a Source Object at any point in time.</w:t>
            </w:r>
          </w:p>
        </w:tc>
      </w:tr>
      <w:tr>
        <w:tc>
          <w:tcPr>
            <w:tcW w:type="dxa" w:w="4320"/>
          </w:tcPr>
          <w:p>
            <w:r>
              <w:t>CP-002</w:t>
            </w:r>
          </w:p>
        </w:tc>
        <w:tc>
          <w:tcPr>
            <w:tcW w:type="dxa" w:w="4320"/>
          </w:tcPr>
          <w:p>
            <w:r>
              <w:t>Possible Resolution is a valid enterprise understanding and shall be institutionalized.</w:t>
            </w:r>
          </w:p>
        </w:tc>
      </w:tr>
      <w:tr>
        <w:tc>
          <w:tcPr>
            <w:tcW w:type="dxa" w:w="4320"/>
          </w:tcPr>
          <w:p>
            <w:r>
              <w:t>CP-003</w:t>
            </w:r>
          </w:p>
        </w:tc>
        <w:tc>
          <w:tcPr>
            <w:tcW w:type="dxa" w:w="4320"/>
          </w:tcPr>
          <w:p>
            <w:r>
              <w:t>Resolution records are immutable and never updated or deleted.</w:t>
            </w:r>
          </w:p>
        </w:tc>
      </w:tr>
      <w:tr>
        <w:tc>
          <w:tcPr>
            <w:tcW w:type="dxa" w:w="4320"/>
          </w:tcPr>
          <w:p>
            <w:r>
              <w:t>CP-004</w:t>
            </w:r>
          </w:p>
        </w:tc>
        <w:tc>
          <w:tcPr>
            <w:tcW w:type="dxa" w:w="4320"/>
          </w:tcPr>
          <w:p>
            <w:r>
              <w:t>Historical records are archived, preserving institutional memory.</w:t>
            </w:r>
          </w:p>
        </w:tc>
      </w:tr>
      <w:tr>
        <w:tc>
          <w:tcPr>
            <w:tcW w:type="dxa" w:w="4320"/>
          </w:tcPr>
          <w:p>
            <w:r>
              <w:t>CP-005</w:t>
            </w:r>
          </w:p>
        </w:tc>
        <w:tc>
          <w:tcPr>
            <w:tcW w:type="dxa" w:w="4320"/>
          </w:tcPr>
          <w:p>
            <w:r>
              <w:t>Human override is an authorized business action and becomes part of enterprise history.</w:t>
            </w:r>
          </w:p>
        </w:tc>
      </w:tr>
      <w:tr>
        <w:tc>
          <w:tcPr>
            <w:tcW w:type="dxa" w:w="4320"/>
          </w:tcPr>
          <w:p>
            <w:r>
              <w:t>CP-006</w:t>
            </w:r>
          </w:p>
        </w:tc>
        <w:tc>
          <w:tcPr>
            <w:tcW w:type="dxa" w:w="4320"/>
          </w:tcPr>
          <w:p>
            <w:r>
              <w:t>Only the Source Objects used during evaluation constitute the supporting evidence.</w:t>
            </w:r>
          </w:p>
        </w:tc>
      </w:tr>
      <w:tr>
        <w:tc>
          <w:tcPr>
            <w:tcW w:type="dxa" w:w="4320"/>
          </w:tcPr>
          <w:p>
            <w:r>
              <w:t>CP-007</w:t>
            </w:r>
          </w:p>
        </w:tc>
        <w:tc>
          <w:tcPr>
            <w:tcW w:type="dxa" w:w="4320"/>
          </w:tcPr>
          <w:p>
            <w:r>
              <w:t>Every record shall capture the Resolution Policy Version used to reach the understanding.</w:t>
            </w:r>
          </w:p>
        </w:tc>
      </w:tr>
      <w:tr>
        <w:tc>
          <w:tcPr>
            <w:tcW w:type="dxa" w:w="4320"/>
          </w:tcPr>
          <w:p>
            <w:r>
              <w:t>CP-008</w:t>
            </w:r>
          </w:p>
        </w:tc>
        <w:tc>
          <w:tcPr>
            <w:tcW w:type="dxa" w:w="4320"/>
          </w:tcPr>
          <w:p>
            <w:r>
              <w:t>Every resolution shall provide both structured reasons and a human-readable explanation.</w:t>
            </w:r>
          </w:p>
        </w:tc>
      </w:tr>
    </w:tbl>
    <w:p>
      <w:pPr>
        <w:pStyle w:val="Heading1"/>
      </w:pPr>
      <w:r>
        <w:t>5. Business Vocabulary</w:t>
      </w:r>
    </w:p>
    <w:tbl>
      <w:tblPr>
        <w:tblStyle w:val="TableGrid"/>
        <w:tblW w:type="auto" w:w="0"/>
        <w:tblLook w:firstColumn="1" w:firstRow="1" w:lastColumn="0" w:lastRow="0" w:noHBand="0" w:noVBand="1" w:val="04A0"/>
      </w:tblPr>
      <w:tblGrid>
        <w:gridCol w:w="4320"/>
        <w:gridCol w:w="4320"/>
      </w:tblGrid>
      <w:tr>
        <w:tc>
          <w:tcPr>
            <w:tcW w:type="dxa" w:w="4320"/>
          </w:tcPr>
          <w:p>
            <w:r>
              <w:t>Concept</w:t>
            </w:r>
          </w:p>
        </w:tc>
        <w:tc>
          <w:tcPr>
            <w:tcW w:type="dxa" w:w="4320"/>
          </w:tcPr>
          <w:p>
            <w:r>
              <w:t>Definition</w:t>
            </w:r>
          </w:p>
        </w:tc>
      </w:tr>
      <w:tr>
        <w:tc>
          <w:tcPr>
            <w:tcW w:type="dxa" w:w="4320"/>
          </w:tcPr>
          <w:p>
            <w:r>
              <w:t>Enterprise Entity</w:t>
            </w:r>
          </w:p>
        </w:tc>
        <w:tc>
          <w:tcPr>
            <w:tcW w:type="dxa" w:w="4320"/>
          </w:tcPr>
          <w:p>
            <w:r>
              <w:t>Canonical representation of a real-world thing recognized by the enterprise.</w:t>
            </w:r>
          </w:p>
        </w:tc>
      </w:tr>
      <w:tr>
        <w:tc>
          <w:tcPr>
            <w:tcW w:type="dxa" w:w="4320"/>
          </w:tcPr>
          <w:p>
            <w:r>
              <w:t>Resolution Candidate</w:t>
            </w:r>
          </w:p>
        </w:tc>
        <w:tc>
          <w:tcPr>
            <w:tcW w:type="dxa" w:w="4320"/>
          </w:tcPr>
          <w:p>
            <w:r>
              <w:t>Existing Enterprise Entity considered during evaluation.</w:t>
            </w:r>
          </w:p>
        </w:tc>
      </w:tr>
      <w:tr>
        <w:tc>
          <w:tcPr>
            <w:tcW w:type="dxa" w:w="4320"/>
          </w:tcPr>
          <w:p>
            <w:r>
              <w:t>Resolution Outcome</w:t>
            </w:r>
          </w:p>
        </w:tc>
        <w:tc>
          <w:tcPr>
            <w:tcW w:type="dxa" w:w="4320"/>
          </w:tcPr>
          <w:p>
            <w:r>
              <w:t>Resolved, Possible Resolution, or Unresolved.</w:t>
            </w:r>
          </w:p>
        </w:tc>
      </w:tr>
      <w:tr>
        <w:tc>
          <w:tcPr>
            <w:tcW w:type="dxa" w:w="4320"/>
          </w:tcPr>
          <w:p>
            <w:r>
              <w:t>Business Confidence</w:t>
            </w:r>
          </w:p>
        </w:tc>
        <w:tc>
          <w:tcPr>
            <w:tcW w:type="dxa" w:w="4320"/>
          </w:tcPr>
          <w:p>
            <w:r>
              <w:t>Business classification representing confidence in the enterprise's current understanding.</w:t>
            </w:r>
          </w:p>
        </w:tc>
      </w:tr>
      <w:tr>
        <w:tc>
          <w:tcPr>
            <w:tcW w:type="dxa" w:w="4320"/>
          </w:tcPr>
          <w:p>
            <w:r>
              <w:t>Resolution Explanation</w:t>
            </w:r>
          </w:p>
        </w:tc>
        <w:tc>
          <w:tcPr>
            <w:tcW w:type="dxa" w:w="4320"/>
          </w:tcPr>
          <w:p>
            <w:r>
              <w:t>Human-readable explanation supporting the understanding.</w:t>
            </w:r>
          </w:p>
        </w:tc>
      </w:tr>
      <w:tr>
        <w:tc>
          <w:tcPr>
            <w:tcW w:type="dxa" w:w="4320"/>
          </w:tcPr>
          <w:p>
            <w:r>
              <w:t>Enterprise Entity Resolution Record</w:t>
            </w:r>
          </w:p>
        </w:tc>
        <w:tc>
          <w:tcPr>
            <w:tcW w:type="dxa" w:w="4320"/>
          </w:tcPr>
          <w:p>
            <w:r>
              <w:t>Immutable business artifact produced by this capability.</w:t>
            </w:r>
          </w:p>
        </w:tc>
      </w:tr>
    </w:tbl>
    <w:p>
      <w:pPr>
        <w:pStyle w:val="Heading1"/>
      </w:pPr>
      <w:r>
        <w:t>6. Enterprise Entity Resolution Record Specification</w:t>
      </w:r>
    </w:p>
    <w:tbl>
      <w:tblPr>
        <w:tblStyle w:val="TableGrid"/>
        <w:tblW w:type="auto" w:w="0"/>
        <w:tblLook w:firstColumn="1" w:firstRow="1" w:lastColumn="0" w:lastRow="0" w:noHBand="0" w:noVBand="1" w:val="04A0"/>
      </w:tblPr>
      <w:tblGrid>
        <w:gridCol w:w="4320"/>
        <w:gridCol w:w="4320"/>
      </w:tblGrid>
      <w:tr>
        <w:tc>
          <w:tcPr>
            <w:tcW w:type="dxa" w:w="4320"/>
          </w:tcPr>
          <w:p>
            <w:r>
              <w:t>Business Attribute</w:t>
            </w:r>
          </w:p>
        </w:tc>
        <w:tc>
          <w:tcPr>
            <w:tcW w:type="dxa" w:w="4320"/>
          </w:tcPr>
          <w:p>
            <w:r>
              <w:t>Business Definition</w:t>
            </w:r>
          </w:p>
        </w:tc>
      </w:tr>
      <w:tr>
        <w:tc>
          <w:tcPr>
            <w:tcW w:type="dxa" w:w="4320"/>
          </w:tcPr>
          <w:p>
            <w:r>
              <w:t>Record Identifier</w:t>
            </w:r>
          </w:p>
        </w:tc>
        <w:tc>
          <w:tcPr>
            <w:tcW w:type="dxa" w:w="4320"/>
          </w:tcPr>
          <w:p>
            <w:r>
              <w:t>Unique identifier for the resolution record.</w:t>
            </w:r>
          </w:p>
        </w:tc>
      </w:tr>
      <w:tr>
        <w:tc>
          <w:tcPr>
            <w:tcW w:type="dxa" w:w="4320"/>
          </w:tcPr>
          <w:p>
            <w:r>
              <w:t>Enterprise Entity Reference</w:t>
            </w:r>
          </w:p>
        </w:tc>
        <w:tc>
          <w:tcPr>
            <w:tcW w:type="dxa" w:w="4320"/>
          </w:tcPr>
          <w:p>
            <w:r>
              <w:t>Resolved Enterprise Entity. Nullable for Unresolved outcomes.</w:t>
            </w:r>
          </w:p>
        </w:tc>
      </w:tr>
      <w:tr>
        <w:tc>
          <w:tcPr>
            <w:tcW w:type="dxa" w:w="4320"/>
          </w:tcPr>
          <w:p>
            <w:r>
              <w:t>Supporting Source Objects</w:t>
            </w:r>
          </w:p>
        </w:tc>
        <w:tc>
          <w:tcPr>
            <w:tcW w:type="dxa" w:w="4320"/>
          </w:tcPr>
          <w:p>
            <w:r>
              <w:t>Only the Source Objects evaluated during this resolution.</w:t>
            </w:r>
          </w:p>
        </w:tc>
      </w:tr>
      <w:tr>
        <w:tc>
          <w:tcPr>
            <w:tcW w:type="dxa" w:w="4320"/>
          </w:tcPr>
          <w:p>
            <w:r>
              <w:t>Resolution Outcome</w:t>
            </w:r>
          </w:p>
        </w:tc>
        <w:tc>
          <w:tcPr>
            <w:tcW w:type="dxa" w:w="4320"/>
          </w:tcPr>
          <w:p>
            <w:r>
              <w:t>Resolved / Possible Resolution / Unresolved.</w:t>
            </w:r>
          </w:p>
        </w:tc>
      </w:tr>
      <w:tr>
        <w:tc>
          <w:tcPr>
            <w:tcW w:type="dxa" w:w="4320"/>
          </w:tcPr>
          <w:p>
            <w:r>
              <w:t>Business Confidence</w:t>
            </w:r>
          </w:p>
        </w:tc>
        <w:tc>
          <w:tcPr>
            <w:tcW w:type="dxa" w:w="4320"/>
          </w:tcPr>
          <w:p>
            <w:r>
              <w:t>High / Medium / Low. Classification owned by the business.</w:t>
            </w:r>
          </w:p>
        </w:tc>
      </w:tr>
      <w:tr>
        <w:tc>
          <w:tcPr>
            <w:tcW w:type="dxa" w:w="4320"/>
          </w:tcPr>
          <w:p>
            <w:r>
              <w:t>Resolution Explanation</w:t>
            </w:r>
          </w:p>
        </w:tc>
        <w:tc>
          <w:tcPr>
            <w:tcW w:type="dxa" w:w="4320"/>
          </w:tcPr>
          <w:p>
            <w:r>
              <w:t>Structured reasons plus narrative explanation.</w:t>
            </w:r>
          </w:p>
        </w:tc>
      </w:tr>
      <w:tr>
        <w:tc>
          <w:tcPr>
            <w:tcW w:type="dxa" w:w="4320"/>
          </w:tcPr>
          <w:p>
            <w:r>
              <w:t>Produced Timestamp</w:t>
            </w:r>
          </w:p>
        </w:tc>
        <w:tc>
          <w:tcPr>
            <w:tcW w:type="dxa" w:w="4320"/>
          </w:tcPr>
          <w:p>
            <w:r>
              <w:t>When the understanding was recorded.</w:t>
            </w:r>
          </w:p>
        </w:tc>
      </w:tr>
      <w:tr>
        <w:tc>
          <w:tcPr>
            <w:tcW w:type="dxa" w:w="4320"/>
          </w:tcPr>
          <w:p>
            <w:r>
              <w:t>Resolution Policy Version</w:t>
            </w:r>
          </w:p>
        </w:tc>
        <w:tc>
          <w:tcPr>
            <w:tcW w:type="dxa" w:w="4320"/>
          </w:tcPr>
          <w:p>
            <w:r>
              <w:t>Business policy version applied.</w:t>
            </w:r>
          </w:p>
        </w:tc>
      </w:tr>
      <w:tr>
        <w:tc>
          <w:tcPr>
            <w:tcW w:type="dxa" w:w="4320"/>
          </w:tcPr>
          <w:p>
            <w:r>
              <w:t>Record Status</w:t>
            </w:r>
          </w:p>
        </w:tc>
        <w:tc>
          <w:tcPr>
            <w:tcW w:type="dxa" w:w="4320"/>
          </w:tcPr>
          <w:p>
            <w:r>
              <w:t>Active or Archived.</w:t>
            </w:r>
          </w:p>
        </w:tc>
      </w:tr>
      <w:tr>
        <w:tc>
          <w:tcPr>
            <w:tcW w:type="dxa" w:w="4320"/>
          </w:tcPr>
          <w:p>
            <w:r>
              <w:t>Superseded By</w:t>
            </w:r>
          </w:p>
        </w:tc>
        <w:tc>
          <w:tcPr>
            <w:tcW w:type="dxa" w:w="4320"/>
          </w:tcPr>
          <w:p>
            <w:r>
              <w:t>Optional reference to a newer resolution record.</w:t>
            </w:r>
          </w:p>
        </w:tc>
      </w:tr>
    </w:tbl>
    <w:p>
      <w:pPr>
        <w:pStyle w:val="Heading1"/>
      </w:pPr>
      <w:r>
        <w:t>7. Business Confidence Classification</w:t>
      </w:r>
    </w:p>
    <w:p>
      <w:r>
        <w:t>Business Confidence is expressed using three business-defined classifications:</w:t>
      </w:r>
    </w:p>
    <w:p>
      <w:r>
        <w:t>• High – Business-defined criteria indicate strong confidence.</w:t>
      </w:r>
    </w:p>
    <w:p>
      <w:r>
        <w:t>• Medium – Business-defined criteria indicate moderate confidence requiring possible review.</w:t>
      </w:r>
    </w:p>
    <w:p>
      <w:r>
        <w:t>• Low – Business-defined criteria indicate insufficient confidence for automatic acceptance.</w:t>
      </w:r>
    </w:p>
    <w:p>
      <w:r>
        <w:t>Engineering may compute internal numeric scores, but only the business classifications are part of this model.</w:t>
      </w:r>
    </w:p>
    <w:p>
      <w:pPr>
        <w:pStyle w:val="Heading1"/>
      </w:pPr>
      <w:r>
        <w:t>8. Resolution Outcomes</w:t>
      </w:r>
    </w:p>
    <w:p>
      <w:r>
        <w:t>• Resolved</w:t>
      </w:r>
    </w:p>
    <w:p>
      <w:r>
        <w:t>• Possible Resolution</w:t>
      </w:r>
    </w:p>
    <w:p>
      <w:r>
        <w:t>• Unresolved</w:t>
      </w:r>
    </w:p>
    <w:p>
      <w:pPr>
        <w:pStyle w:val="Heading1"/>
      </w:pPr>
      <w:r>
        <w:t>9. Human Override</w:t>
      </w:r>
    </w:p>
    <w:p>
      <w:r>
        <w:t>Authorized users may override an Enterprise Entity Resolution. Overrides never modify historical records; instead, they produce a new Enterprise Entity Resolution Record while archiving the previous active record.</w:t>
      </w:r>
    </w:p>
    <w:p>
      <w:pPr>
        <w:pStyle w:val="Heading1"/>
      </w:pPr>
      <w:r>
        <w:t>10. Enterprise Entity Evolution</w:t>
      </w:r>
    </w:p>
    <w:p>
      <w:r>
        <w:t>If enterprise understanding changes, a new Enterprise Entity Resolution Record is created. Historical records remain archived. Enterprise Entity creation or modification is performed only by authorized capabilities outside EER.</w:t>
      </w:r>
    </w:p>
    <w:p>
      <w:pPr>
        <w:pStyle w:val="Heading1"/>
      </w:pPr>
      <w:r>
        <w:t>11. Explainability</w:t>
      </w:r>
    </w:p>
    <w:p>
      <w:r>
        <w:t>Each record shall include:</w:t>
      </w:r>
    </w:p>
    <w:p>
      <w:r>
        <w:t>• Structured business reasons</w:t>
      </w:r>
    </w:p>
    <w:p>
      <w:r>
        <w:t>• Human-readable narrative explanation</w:t>
      </w:r>
    </w:p>
    <w:p>
      <w:r>
        <w:t>• Resolution Policy Version</w:t>
      </w:r>
    </w:p>
    <w:p>
      <w:r>
        <w:t>• Supporting Source Objects</w:t>
      </w:r>
    </w:p>
    <w:p>
      <w:pPr>
        <w:pStyle w:val="Heading1"/>
      </w:pPr>
      <w:r>
        <w:t>12. MDM Comparison</w:t>
      </w:r>
    </w:p>
    <w:tbl>
      <w:tblPr>
        <w:tblStyle w:val="TableGrid"/>
        <w:tblW w:type="auto" w:w="0"/>
        <w:tblLook w:firstColumn="1" w:firstRow="1" w:lastColumn="0" w:lastRow="0" w:noHBand="0" w:noVBand="1" w:val="04A0"/>
      </w:tblPr>
      <w:tblGrid>
        <w:gridCol w:w="4320"/>
        <w:gridCol w:w="4320"/>
      </w:tblGrid>
      <w:tr>
        <w:tc>
          <w:tcPr>
            <w:tcW w:type="dxa" w:w="4320"/>
          </w:tcPr>
          <w:p>
            <w:r>
              <w:t>Traditional MDM</w:t>
            </w:r>
          </w:p>
        </w:tc>
        <w:tc>
          <w:tcPr>
            <w:tcW w:type="dxa" w:w="4320"/>
          </w:tcPr>
          <w:p>
            <w:r>
              <w:t>CTEC</w:t>
            </w:r>
          </w:p>
        </w:tc>
      </w:tr>
      <w:tr>
        <w:tc>
          <w:tcPr>
            <w:tcW w:type="dxa" w:w="4320"/>
          </w:tcPr>
          <w:p>
            <w:r>
              <w:t>Matches duplicate records</w:t>
            </w:r>
          </w:p>
        </w:tc>
        <w:tc>
          <w:tcPr>
            <w:tcW w:type="dxa" w:w="4320"/>
          </w:tcPr>
          <w:p>
            <w:r>
              <w:t>Builds enterprise understanding</w:t>
            </w:r>
          </w:p>
        </w:tc>
      </w:tr>
      <w:tr>
        <w:tc>
          <w:tcPr>
            <w:tcW w:type="dxa" w:w="4320"/>
          </w:tcPr>
          <w:p>
            <w:r>
              <w:t>Golden Record</w:t>
            </w:r>
          </w:p>
        </w:tc>
        <w:tc>
          <w:tcPr>
            <w:tcW w:type="dxa" w:w="4320"/>
          </w:tcPr>
          <w:p>
            <w:r>
              <w:t>Enterprise Entity + Resolution Record</w:t>
            </w:r>
          </w:p>
        </w:tc>
      </w:tr>
      <w:tr>
        <w:tc>
          <w:tcPr>
            <w:tcW w:type="dxa" w:w="4320"/>
          </w:tcPr>
          <w:p>
            <w:r>
              <w:t>Updates master data</w:t>
            </w:r>
          </w:p>
        </w:tc>
        <w:tc>
          <w:tcPr>
            <w:tcW w:type="dxa" w:w="4320"/>
          </w:tcPr>
          <w:p>
            <w:r>
              <w:t>Leaves Canonical Enterprise Ontology unchanged</w:t>
            </w:r>
          </w:p>
        </w:tc>
      </w:tr>
      <w:tr>
        <w:tc>
          <w:tcPr>
            <w:tcW w:type="dxa" w:w="4320"/>
          </w:tcPr>
          <w:p>
            <w:r>
              <w:t>Focuses on data consolidation</w:t>
            </w:r>
          </w:p>
        </w:tc>
        <w:tc>
          <w:tcPr>
            <w:tcW w:type="dxa" w:w="4320"/>
          </w:tcPr>
          <w:p>
            <w:r>
              <w:t>Focuses on explainable institutional understanding</w:t>
            </w:r>
          </w:p>
        </w:tc>
      </w:tr>
    </w:tbl>
    <w:p>
      <w:pPr>
        <w:pStyle w:val="Heading1"/>
      </w:pPr>
      <w:r>
        <w:t>13. Traceability</w:t>
      </w:r>
    </w:p>
    <w:p>
      <w:r>
        <w:t>EAH-001 → Architecture</w:t>
      </w:r>
    </w:p>
    <w:p>
      <w:r>
        <w:t>RFC-010 → Canonical Enterprise Ontology Boundary</w:t>
      </w:r>
    </w:p>
    <w:p>
      <w:r>
        <w:t>CDD-003 Revision 2 → Canonical Enterprise Ontology</w:t>
      </w:r>
    </w:p>
    <w:p>
      <w:r>
        <w:t>EAD-001 → Canonical Attributes</w:t>
      </w:r>
    </w:p>
    <w:p>
      <w:r>
        <w:t>ERM-001 v2.0 → Business authority for CDD-004</w:t>
      </w:r>
    </w:p>
    <w:p>
      <w:pPr>
        <w:pStyle w:val="Heading1"/>
      </w:pPr>
      <w:r>
        <w:t>14. Success Criteria</w:t>
      </w:r>
    </w:p>
    <w:p>
      <w:r>
        <w:t>The capability is complete when operational information can be associated with an existing Enterprise Entity, one active Resolution Record exists per Source Object, historical understanding is preserved through archived immutable records, explainability is available, and the Canonical Enterprise Ontology remains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