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80"/>
      </w:pPr>
      <w:r>
        <w:rPr>
          <w:rFonts w:ascii="Calibri" w:hAnsi="Calibri"/>
          <w:b/>
          <w:color w:val="2E74B5"/>
          <w:sz w:val="32"/>
        </w:rPr>
        <w:t>CAM-001</w:t>
      </w:r>
    </w:p>
    <w:p>
      <w:pPr>
        <w:spacing w:after="160"/>
      </w:pPr>
      <w:r>
        <w:rPr>
          <w:rFonts w:ascii="Calibri" w:hAnsi="Calibri"/>
          <w:b/>
          <w:color w:val="243447"/>
          <w:sz w:val="56"/>
        </w:rPr>
        <w:t>Canonical Projection Model</w:t>
      </w:r>
    </w:p>
    <w:p>
      <w:pPr>
        <w:spacing w:after="480"/>
      </w:pPr>
      <w:r>
        <w:rPr>
          <w:color w:val="505A64"/>
          <w:sz w:val="26"/>
        </w:rPr>
        <w:t>Architectural mapping from immutable cognitive records to authoritative enterprise outcomes</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Field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Value</w:t>
            </w:r>
          </w:p>
        </w:tc>
      </w:tr>
      <w:tr>
        <w:tc>
          <w:tcPr>
            <w:tcW w:type="dxa" w:w="2376"/>
            <w:vAlign w:val="center"/>
            <w:tcMar>
              <w:top w:w="90" w:type="dxa"/>
              <w:start w:w="120" w:type="dxa"/>
              <w:bottom w:w="90" w:type="dxa"/>
              <w:end w:w="120" w:type="dxa"/>
            </w:tcMar>
          </w:tcPr>
          <w:p>
            <w:pPr>
              <w:spacing w:after="0"/>
            </w:pPr>
            <w:r/>
            <w:r>
              <w:rPr>
                <w:rFonts w:ascii="Calibri" w:hAnsi="Calibri"/>
                <w:b w:val="0"/>
                <w:sz w:val="18"/>
              </w:rPr>
              <w:t>Document ID</w:t>
            </w:r>
          </w:p>
        </w:tc>
        <w:tc>
          <w:tcPr>
            <w:tcW w:type="dxa" w:w="6984"/>
            <w:vAlign w:val="center"/>
            <w:tcMar>
              <w:top w:w="90" w:type="dxa"/>
              <w:start w:w="120" w:type="dxa"/>
              <w:bottom w:w="90" w:type="dxa"/>
              <w:end w:w="120" w:type="dxa"/>
            </w:tcMar>
          </w:tcPr>
          <w:p>
            <w:pPr>
              <w:spacing w:after="0"/>
            </w:pPr>
            <w:r/>
            <w:r>
              <w:rPr>
                <w:rFonts w:ascii="Calibri" w:hAnsi="Calibri"/>
                <w:b w:val="0"/>
                <w:sz w:val="18"/>
              </w:rPr>
              <w:t>CAM-001</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Version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1.0</w:t>
            </w:r>
          </w:p>
        </w:tc>
      </w:tr>
      <w:tr>
        <w:tc>
          <w:tcPr>
            <w:tcW w:type="dxa" w:w="2376"/>
            <w:vAlign w:val="center"/>
            <w:tcMar>
              <w:top w:w="90" w:type="dxa"/>
              <w:start w:w="120" w:type="dxa"/>
              <w:bottom w:w="90" w:type="dxa"/>
              <w:end w:w="120" w:type="dxa"/>
            </w:tcMar>
          </w:tcPr>
          <w:p>
            <w:pPr>
              <w:spacing w:after="0"/>
            </w:pPr>
            <w:r/>
            <w:r>
              <w:rPr>
                <w:rFonts w:ascii="Calibri" w:hAnsi="Calibri"/>
                <w:b w:val="0"/>
                <w:sz w:val="18"/>
              </w:rPr>
              <w:t>Status</w:t>
            </w:r>
          </w:p>
        </w:tc>
        <w:tc>
          <w:tcPr>
            <w:tcW w:type="dxa" w:w="6984"/>
            <w:vAlign w:val="center"/>
            <w:tcMar>
              <w:top w:w="90" w:type="dxa"/>
              <w:start w:w="120" w:type="dxa"/>
              <w:bottom w:w="90" w:type="dxa"/>
              <w:end w:w="120" w:type="dxa"/>
            </w:tcMar>
          </w:tcPr>
          <w:p>
            <w:pPr>
              <w:spacing w:after="0"/>
            </w:pPr>
            <w:r/>
            <w:r>
              <w:rPr>
                <w:rFonts w:ascii="Calibri" w:hAnsi="Calibri"/>
                <w:b w:val="0"/>
                <w:sz w:val="18"/>
              </w:rPr>
              <w:t>FROZEN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Document Type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Architecture Mapping Specification</w:t>
            </w:r>
          </w:p>
        </w:tc>
      </w:tr>
      <w:tr>
        <w:tc>
          <w:tcPr>
            <w:tcW w:type="dxa" w:w="2376"/>
            <w:vAlign w:val="center"/>
            <w:tcMar>
              <w:top w:w="90" w:type="dxa"/>
              <w:start w:w="120" w:type="dxa"/>
              <w:bottom w:w="90" w:type="dxa"/>
              <w:end w:w="120" w:type="dxa"/>
            </w:tcMar>
          </w:tcPr>
          <w:p>
            <w:pPr>
              <w:spacing w:after="0"/>
            </w:pPr>
            <w:r/>
            <w:r>
              <w:rPr>
                <w:rFonts w:ascii="Calibri" w:hAnsi="Calibri"/>
                <w:b w:val="0"/>
                <w:sz w:val="18"/>
              </w:rPr>
              <w:t>Authority</w:t>
            </w:r>
          </w:p>
        </w:tc>
        <w:tc>
          <w:tcPr>
            <w:tcW w:type="dxa" w:w="6984"/>
            <w:vAlign w:val="center"/>
            <w:tcMar>
              <w:top w:w="90" w:type="dxa"/>
              <w:start w:w="120" w:type="dxa"/>
              <w:bottom w:w="90" w:type="dxa"/>
              <w:end w:w="120" w:type="dxa"/>
            </w:tcMar>
          </w:tcPr>
          <w:p>
            <w:pPr>
              <w:spacing w:after="0"/>
            </w:pPr>
            <w:r/>
            <w:r>
              <w:rPr>
                <w:rFonts w:ascii="Calibri" w:hAnsi="Calibri"/>
                <w:b w:val="0"/>
                <w:sz w:val="18"/>
              </w:rPr>
              <w:t>ECOM Architecture</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Depends 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EAH-001; RFC-010; RFC-011; ASM-001; KRM-001; DRM-001; GRM-001</w:t>
            </w:r>
          </w:p>
        </w:tc>
      </w:tr>
      <w:tr>
        <w:tc>
          <w:tcPr>
            <w:tcW w:type="dxa" w:w="2376"/>
            <w:vAlign w:val="center"/>
            <w:tcMar>
              <w:top w:w="90" w:type="dxa"/>
              <w:start w:w="120" w:type="dxa"/>
              <w:bottom w:w="90" w:type="dxa"/>
              <w:end w:w="120" w:type="dxa"/>
            </w:tcMar>
          </w:tcPr>
          <w:p>
            <w:pPr>
              <w:spacing w:after="0"/>
            </w:pPr>
            <w:r/>
            <w:r>
              <w:rPr>
                <w:rFonts w:ascii="Calibri" w:hAnsi="Calibri"/>
                <w:b w:val="0"/>
                <w:sz w:val="18"/>
              </w:rPr>
              <w:t>Scope</w:t>
            </w:r>
          </w:p>
        </w:tc>
        <w:tc>
          <w:tcPr>
            <w:tcW w:type="dxa" w:w="6984"/>
            <w:vAlign w:val="center"/>
            <w:tcMar>
              <w:top w:w="90" w:type="dxa"/>
              <w:start w:w="120" w:type="dxa"/>
              <w:bottom w:w="90" w:type="dxa"/>
              <w:end w:w="120" w:type="dxa"/>
            </w:tcMar>
          </w:tcPr>
          <w:p>
            <w:pPr>
              <w:spacing w:after="0"/>
            </w:pPr>
            <w:r/>
            <w:r>
              <w:rPr>
                <w:rFonts w:ascii="Calibri" w:hAnsi="Calibri"/>
                <w:b w:val="0"/>
                <w:sz w:val="18"/>
              </w:rPr>
              <w:t>Projection from immutable cognitive records to business outcomes</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Out of Scope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Ontology changes, implementation, persistence, APIs, DTOs, and runtime technology</w:t>
            </w:r>
          </w:p>
        </w:tc>
      </w:tr>
    </w:tbl>
    <w:p>
      <w:pPr>
        <w:spacing w:after="20"/>
      </w:pPr>
    </w:p>
    <w:p>
      <w:pPr>
        <w:pStyle w:val="Heading1"/>
      </w:pPr>
      <w:r>
        <w:t>1. Purpose</w:t>
      </w:r>
    </w:p>
    <w:p>
      <w:r>
        <w:t>CAM-001 defines the architectural mapping between immutable cognitive evaluation records and the authoritative business outcomes established by those records. It explains how recorded cognition acquires downstream business standing without modifying the Canonical Enterprise Ontology or conflating history with current enterprise understanding.</w:t>
      </w:r>
    </w:p>
    <w:p>
      <w:r>
        <w:t>CAM-001 does not create a second canonical model. It defines projection across existing, already-authorized concepts.</w:t>
      </w:r>
    </w:p>
    <w:p>
      <w:pPr>
        <w:pStyle w:val="Heading1"/>
      </w:pPr>
      <w:r>
        <w:t>2. Architectural Problem</w:t>
      </w:r>
    </w:p>
    <w:p>
      <w:r>
        <w:t>CTEC contains three distinct architectural planes that must not be collapsed:</w:t>
      </w:r>
    </w:p>
    <w:tbl>
      <w:tblPr>
        <w:tblStyle w:val="TableGrid"/>
        <w:tblW w:type="auto" w:w="0"/>
        <w:tblLayout w:type="fixed"/>
        <w:tblLook w:firstColumn="1" w:firstRow="1" w:lastColumn="0" w:lastRow="0" w:noHBand="0" w:noVBand="1" w:val="04A0"/>
      </w:tblPr>
      <w:tblGrid>
        <w:gridCol w:w="2088"/>
        <w:gridCol w:w="3528"/>
        <w:gridCol w:w="3744"/>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Plane</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Contains</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Architectural role</w:t>
            </w:r>
          </w:p>
        </w:tc>
      </w:tr>
      <w:tr>
        <w:tc>
          <w:tcPr>
            <w:tcW w:type="dxa" w:w="2088"/>
            <w:vAlign w:val="center"/>
            <w:tcMar>
              <w:top w:w="90" w:type="dxa"/>
              <w:start w:w="120" w:type="dxa"/>
              <w:bottom w:w="90" w:type="dxa"/>
              <w:end w:w="120" w:type="dxa"/>
            </w:tcMar>
          </w:tcPr>
          <w:p>
            <w:pPr>
              <w:spacing w:after="0"/>
            </w:pPr>
            <w:r/>
            <w:r>
              <w:rPr>
                <w:rFonts w:ascii="Calibri" w:hAnsi="Calibri"/>
                <w:b w:val="0"/>
                <w:sz w:val="18"/>
              </w:rPr>
              <w:t>Canonical Enterprise Ontology</w:t>
            </w:r>
          </w:p>
        </w:tc>
        <w:tc>
          <w:tcPr>
            <w:tcW w:type="dxa" w:w="3528"/>
            <w:vAlign w:val="center"/>
            <w:tcMar>
              <w:top w:w="90" w:type="dxa"/>
              <w:start w:w="120" w:type="dxa"/>
              <w:bottom w:w="90" w:type="dxa"/>
              <w:end w:w="120" w:type="dxa"/>
            </w:tcMar>
          </w:tcPr>
          <w:p>
            <w:pPr>
              <w:spacing w:after="0"/>
            </w:pPr>
            <w:r/>
            <w:r>
              <w:rPr>
                <w:rFonts w:ascii="Calibri" w:hAnsi="Calibri"/>
                <w:b w:val="0"/>
                <w:sz w:val="18"/>
              </w:rPr>
              <w:t>Enterprise, Enterprise Entity, Institutional Concept, Source System, Source Object, and other CEO structures authorized by RFC-010</w:t>
            </w:r>
          </w:p>
        </w:tc>
        <w:tc>
          <w:tcPr>
            <w:tcW w:type="dxa" w:w="3744"/>
            <w:vAlign w:val="center"/>
            <w:tcMar>
              <w:top w:w="90" w:type="dxa"/>
              <w:start w:w="120" w:type="dxa"/>
              <w:bottom w:w="90" w:type="dxa"/>
              <w:end w:w="120" w:type="dxa"/>
            </w:tcMar>
          </w:tcPr>
          <w:p>
            <w:pPr>
              <w:spacing w:after="0"/>
            </w:pPr>
            <w:r/>
            <w:r>
              <w:rPr>
                <w:rFonts w:ascii="Calibri" w:hAnsi="Calibri"/>
                <w:b w:val="0"/>
                <w:sz w:val="18"/>
              </w:rPr>
              <w:t>Represents structural enterprise reality.</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Cognitive Record Plane</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Resolution Records, Assertion Records, Knowledge Evaluation Records, Decision Evaluation Records, and Governance Evaluation Records</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Preserves immutable evidence, evaluation, explanation, policy traceability, effective dating, and history.</w:t>
            </w:r>
          </w:p>
        </w:tc>
      </w:tr>
      <w:tr>
        <w:tc>
          <w:tcPr>
            <w:tcW w:type="dxa" w:w="2088"/>
            <w:vAlign w:val="center"/>
            <w:tcMar>
              <w:top w:w="90" w:type="dxa"/>
              <w:start w:w="120" w:type="dxa"/>
              <w:bottom w:w="90" w:type="dxa"/>
              <w:end w:w="120" w:type="dxa"/>
            </w:tcMar>
          </w:tcPr>
          <w:p>
            <w:pPr>
              <w:spacing w:after="0"/>
            </w:pPr>
            <w:r/>
            <w:r>
              <w:rPr>
                <w:rFonts w:ascii="Calibri" w:hAnsi="Calibri"/>
                <w:b w:val="0"/>
                <w:sz w:val="18"/>
              </w:rPr>
              <w:t>Business Outcome Plane</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Established Assertion, Institutional Knowledge, Enterprise Decision, Governance Attestation, and emergent Enterprise Trust</w:t>
            </w:r>
          </w:p>
        </w:tc>
        <w:tc>
          <w:tcPr>
            <w:tcW w:type="dxa" w:w="3744"/>
            <w:vAlign w:val="center"/>
            <w:tcMar>
              <w:top w:w="90" w:type="dxa"/>
              <w:start w:w="120" w:type="dxa"/>
              <w:bottom w:w="90" w:type="dxa"/>
              <w:end w:w="120" w:type="dxa"/>
            </w:tcMar>
          </w:tcPr>
          <w:p>
            <w:pPr>
              <w:spacing w:after="0"/>
            </w:pPr>
            <w:r/>
            <w:r>
              <w:rPr>
                <w:rFonts w:ascii="Calibri" w:hAnsi="Calibri"/>
                <w:b w:val="0"/>
                <w:sz w:val="18"/>
              </w:rPr>
              <w:t>Represents the business standing established by eligible cognitive records.</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Runtime Plane</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Invocation, orchestration, execution state, and runtime references governed by EIC/EOM/ESM</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Executes cognition and exposes runtime observation; it carries no business meaning and creates no projection.</w:t>
            </w:r>
          </w:p>
        </w:tc>
      </w:tr>
    </w:tbl>
    <w:p>
      <w:pPr>
        <w:spacing w:after="20"/>
      </w:pPr>
    </w:p>
    <w:p>
      <w:pPr>
        <w:pStyle w:val="Heading1"/>
      </w:pPr>
      <w:r>
        <w:t>3. Definition of Canonical Projection</w:t>
      </w:r>
    </w:p>
    <w:p>
      <w:r>
        <w:t>Canonical Projection is the architecture rule by which an immutable cognitive record, when its authorized outcome and applicable effective/currentness conditions are satisfied, establishes or identifies the business outcome defined by its authoritative Business Capability Specification.</w:t>
      </w:r>
    </w:p>
    <w:p>
      <w:r>
        <w:t>The word canonical in this document means authoritative enterprise understanding for downstream consumption. It does not mean that the projected outcome becomes a Canonical Enterprise Ontology entity. RFC-010 remains unchanged: cognitive capabilities consume the CEO and never redefine it.</w:t>
      </w:r>
    </w:p>
    <w:p>
      <w:pPr>
        <w:pStyle w:val="Heading1"/>
      </w:pPr>
      <w:r>
        <w:t>4. Projection Principles</w:t>
      </w:r>
    </w:p>
    <w:tbl>
      <w:tblPr>
        <w:tblStyle w:val="TableGrid"/>
        <w:tblW w:type="auto" w:w="0"/>
        <w:tblLayout w:type="fixed"/>
        <w:tblLook w:firstColumn="1" w:firstRow="1" w:lastColumn="0" w:lastRow="0" w:noHBand="0" w:noVBand="1" w:val="04A0"/>
      </w:tblPr>
      <w:tblGrid>
        <w:gridCol w:w="1656"/>
        <w:gridCol w:w="770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ID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Principle</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CP-CAM-001</w:t>
            </w:r>
          </w:p>
        </w:tc>
        <w:tc>
          <w:tcPr>
            <w:tcW w:type="dxa" w:w="7704"/>
            <w:vAlign w:val="center"/>
            <w:tcMar>
              <w:top w:w="90" w:type="dxa"/>
              <w:start w:w="120" w:type="dxa"/>
              <w:bottom w:w="90" w:type="dxa"/>
              <w:end w:w="120" w:type="dxa"/>
            </w:tcMar>
          </w:tcPr>
          <w:p>
            <w:pPr>
              <w:spacing w:after="0"/>
            </w:pPr>
            <w:r/>
            <w:r>
              <w:rPr>
                <w:rFonts w:ascii="Calibri" w:hAnsi="Calibri"/>
                <w:b w:val="0"/>
                <w:sz w:val="18"/>
              </w:rPr>
              <w:t>A cognitive record and the business outcome it establishes are distinct architectural concepts.</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CP-CAM-002</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Projection never mutates, extends, or reclassifies the Canonical Enterprise Ontology.</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CP-CAM-003</w:t>
            </w:r>
          </w:p>
        </w:tc>
        <w:tc>
          <w:tcPr>
            <w:tcW w:type="dxa" w:w="7704"/>
            <w:vAlign w:val="center"/>
            <w:tcMar>
              <w:top w:w="90" w:type="dxa"/>
              <w:start w:w="120" w:type="dxa"/>
              <w:bottom w:w="90" w:type="dxa"/>
              <w:end w:w="120" w:type="dxa"/>
            </w:tcMar>
          </w:tcPr>
          <w:p>
            <w:pPr>
              <w:spacing w:after="0"/>
            </w:pPr>
            <w:r/>
            <w:r>
              <w:rPr>
                <w:rFonts w:ascii="Calibri" w:hAnsi="Calibri"/>
                <w:b w:val="0"/>
                <w:sz w:val="18"/>
              </w:rPr>
              <w:t>Only an outcome explicitly authorized by the governing BCS may establish a projected business outcome.</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CP-CAM-004</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Candidate, rejected, non-compliant, and review-required records remain historical understanding unless their governing BCS explicitly establishes an outcome.</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CP-CAM-005</w:t>
            </w:r>
          </w:p>
        </w:tc>
        <w:tc>
          <w:tcPr>
            <w:tcW w:type="dxa" w:w="7704"/>
            <w:vAlign w:val="center"/>
            <w:tcMar>
              <w:top w:w="90" w:type="dxa"/>
              <w:start w:w="120" w:type="dxa"/>
              <w:bottom w:w="90" w:type="dxa"/>
              <w:end w:w="120" w:type="dxa"/>
            </w:tcMar>
          </w:tcPr>
          <w:p>
            <w:pPr>
              <w:spacing w:after="0"/>
            </w:pPr>
            <w:r/>
            <w:r>
              <w:rPr>
                <w:rFonts w:ascii="Calibri" w:hAnsi="Calibri"/>
                <w:b w:val="0"/>
                <w:sz w:val="18"/>
              </w:rPr>
              <w:t>Projection never deletes, updates, or replaces an immutable cognitive record.</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CP-CAM-006</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Currentness is determined outside immutable records in accordance with RFC-011.</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CP-CAM-007</w:t>
            </w:r>
          </w:p>
        </w:tc>
        <w:tc>
          <w:tcPr>
            <w:tcW w:type="dxa" w:w="7704"/>
            <w:vAlign w:val="center"/>
            <w:tcMar>
              <w:top w:w="90" w:type="dxa"/>
              <w:start w:w="120" w:type="dxa"/>
              <w:bottom w:w="90" w:type="dxa"/>
              <w:end w:w="120" w:type="dxa"/>
            </w:tcMar>
          </w:tcPr>
          <w:p>
            <w:pPr>
              <w:spacing w:after="0"/>
            </w:pPr>
            <w:r/>
            <w:r>
              <w:rPr>
                <w:rFonts w:ascii="Calibri" w:hAnsi="Calibri"/>
                <w:b w:val="0"/>
                <w:sz w:val="18"/>
              </w:rPr>
              <w:t>A projected outcome retains traceability to the immutable record and that record’s authorized upstream provenance.</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CP-CAM-008</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Runtime completion does not establish business standing. Business standing is determined only by the governing BCS outcome rules.</w:t>
            </w:r>
          </w:p>
        </w:tc>
      </w:tr>
    </w:tbl>
    <w:p>
      <w:pPr>
        <w:spacing w:after="20"/>
      </w:pPr>
    </w:p>
    <w:p>
      <w:pPr>
        <w:pStyle w:val="Heading1"/>
      </w:pPr>
      <w:r>
        <w:t>5. Authoritative Projection Mapping</w:t>
      </w:r>
    </w:p>
    <w:tbl>
      <w:tblPr>
        <w:tblStyle w:val="TableGrid"/>
        <w:tblW w:type="auto" w:w="0"/>
        <w:tblLayout w:type="fixed"/>
        <w:tblLook w:firstColumn="1" w:firstRow="1" w:lastColumn="0" w:lastRow="0" w:noHBand="0" w:noVBand="1" w:val="04A0"/>
      </w:tblPr>
      <w:tblGrid>
        <w:gridCol w:w="1728"/>
        <w:gridCol w:w="2304"/>
        <w:gridCol w:w="1800"/>
        <w:gridCol w:w="3528"/>
      </w:tblGrid>
      <w:tr>
        <w:trPr>
          <w:tblHeader w:val="true"/>
        </w:trPr>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Capability</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Immutable record</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Qualifying outcome</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Projected business standing</w:t>
            </w:r>
          </w:p>
        </w:tc>
      </w:tr>
      <w:tr>
        <w:tc>
          <w:tcPr>
            <w:tcW w:type="dxa" w:w="1728"/>
            <w:vAlign w:val="center"/>
            <w:tcMar>
              <w:top w:w="90" w:type="dxa"/>
              <w:start w:w="120" w:type="dxa"/>
              <w:bottom w:w="90" w:type="dxa"/>
              <w:end w:w="120" w:type="dxa"/>
            </w:tcMar>
          </w:tcPr>
          <w:p>
            <w:pPr>
              <w:spacing w:after="0"/>
            </w:pPr>
            <w:r/>
            <w:r>
              <w:rPr>
                <w:rFonts w:ascii="Calibri" w:hAnsi="Calibri"/>
                <w:b w:val="0"/>
                <w:sz w:val="18"/>
              </w:rPr>
              <w:t>Enterprise Entity Resolution</w:t>
            </w:r>
          </w:p>
        </w:tc>
        <w:tc>
          <w:tcPr>
            <w:tcW w:type="dxa" w:w="2304"/>
            <w:vAlign w:val="center"/>
            <w:tcMar>
              <w:top w:w="90" w:type="dxa"/>
              <w:start w:w="120" w:type="dxa"/>
              <w:bottom w:w="90" w:type="dxa"/>
              <w:end w:w="120" w:type="dxa"/>
            </w:tcMar>
          </w:tcPr>
          <w:p>
            <w:pPr>
              <w:spacing w:after="0"/>
            </w:pPr>
            <w:r/>
            <w:r>
              <w:rPr>
                <w:rFonts w:ascii="Calibri" w:hAnsi="Calibri"/>
                <w:b w:val="0"/>
                <w:sz w:val="18"/>
              </w:rPr>
              <w:t>Enterprise Entity Resolution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Resolved, as defined by ERM-001</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which existing Enterprise Entity the Source Object represents. It does not create or modify the Enterprise Entity.</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Semantic Resolution</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Semantic Resolution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Resolved, as defined by SRM-001</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Establishes the selected semantic interpretation referencing an existing Institutional Concept. It does not create or modify the concept.</w:t>
            </w:r>
          </w:p>
        </w:tc>
      </w:tr>
      <w:tr>
        <w:tc>
          <w:tcPr>
            <w:tcW w:type="dxa" w:w="1728"/>
            <w:vAlign w:val="center"/>
            <w:tcMar>
              <w:top w:w="90" w:type="dxa"/>
              <w:start w:w="120" w:type="dxa"/>
              <w:bottom w:w="90" w:type="dxa"/>
              <w:end w:w="120" w:type="dxa"/>
            </w:tcMar>
          </w:tcPr>
          <w:p>
            <w:pPr>
              <w:spacing w:after="0"/>
            </w:pPr>
            <w:r/>
            <w:r>
              <w:rPr>
                <w:rFonts w:ascii="Calibri" w:hAnsi="Calibri"/>
                <w:b w:val="0"/>
                <w:sz w:val="18"/>
              </w:rPr>
              <w:t>Assertion</w:t>
            </w:r>
          </w:p>
        </w:tc>
        <w:tc>
          <w:tcPr>
            <w:tcW w:type="dxa" w:w="2304"/>
            <w:vAlign w:val="center"/>
            <w:tcMar>
              <w:top w:w="90" w:type="dxa"/>
              <w:start w:w="120" w:type="dxa"/>
              <w:bottom w:w="90" w:type="dxa"/>
              <w:end w:w="120" w:type="dxa"/>
            </w:tcMar>
          </w:tcPr>
          <w:p>
            <w:pPr>
              <w:spacing w:after="0"/>
            </w:pPr>
            <w:r/>
            <w:r>
              <w:rPr>
                <w:rFonts w:ascii="Calibri" w:hAnsi="Calibri"/>
                <w:b w:val="0"/>
                <w:sz w:val="18"/>
              </w:rPr>
              <w:t>Assertion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Established</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the governed Assertion proposition represented by that record. Candidate and Rejected records establish no accepted assertion standing.</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Knowledge</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Knowledge Evaluation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Institutionalized</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Establishes Institutional Knowledge. Candidate and Rejected evaluations do not establish Institutional Knowledge.</w:t>
            </w:r>
          </w:p>
        </w:tc>
      </w:tr>
      <w:tr>
        <w:tc>
          <w:tcPr>
            <w:tcW w:type="dxa" w:w="1728"/>
            <w:vAlign w:val="center"/>
            <w:tcMar>
              <w:top w:w="90" w:type="dxa"/>
              <w:start w:w="120" w:type="dxa"/>
              <w:bottom w:w="90" w:type="dxa"/>
              <w:end w:w="120" w:type="dxa"/>
            </w:tcMar>
          </w:tcPr>
          <w:p>
            <w:pPr>
              <w:spacing w:after="0"/>
            </w:pPr>
            <w:r/>
            <w:r>
              <w:rPr>
                <w:rFonts w:ascii="Calibri" w:hAnsi="Calibri"/>
                <w:b w:val="0"/>
                <w:sz w:val="18"/>
              </w:rPr>
              <w:t>Decision</w:t>
            </w:r>
          </w:p>
        </w:tc>
        <w:tc>
          <w:tcPr>
            <w:tcW w:type="dxa" w:w="2304"/>
            <w:vAlign w:val="center"/>
            <w:tcMar>
              <w:top w:w="90" w:type="dxa"/>
              <w:start w:w="120" w:type="dxa"/>
              <w:bottom w:w="90" w:type="dxa"/>
              <w:end w:w="120" w:type="dxa"/>
            </w:tcMar>
          </w:tcPr>
          <w:p>
            <w:pPr>
              <w:spacing w:after="0"/>
            </w:pPr>
            <w:r/>
            <w:r>
              <w:rPr>
                <w:rFonts w:ascii="Calibri" w:hAnsi="Calibri"/>
                <w:b w:val="0"/>
                <w:sz w:val="18"/>
              </w:rPr>
              <w:t>Decision Evaluation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Recommended</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an Enterprise Decision as a policy-evaluated business recommendation. Candidate and Rejected evaluations do not establish an Enterprise Decision.</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Governance</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Governance Evaluation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Compliant, Non-Compliant, Exception Granted, or Requires Review</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Every Governance Evaluation establishes exactly one outcome-neutral Governance Attestation reflecting the recorded outcome. The attestation is not an independently persisted business artifact.</w:t>
            </w:r>
          </w:p>
        </w:tc>
      </w:tr>
      <w:tr>
        <w:tc>
          <w:tcPr>
            <w:tcW w:type="dxa" w:w="1728"/>
            <w:vAlign w:val="center"/>
            <w:tcMar>
              <w:top w:w="90" w:type="dxa"/>
              <w:start w:w="120" w:type="dxa"/>
              <w:bottom w:w="90" w:type="dxa"/>
              <w:end w:w="120" w:type="dxa"/>
            </w:tcMar>
          </w:tcPr>
          <w:p>
            <w:pPr>
              <w:spacing w:after="0"/>
            </w:pPr>
            <w:r/>
            <w:r>
              <w:rPr>
                <w:rFonts w:ascii="Calibri" w:hAnsi="Calibri"/>
                <w:b w:val="0"/>
                <w:sz w:val="18"/>
              </w:rPr>
              <w:t>Governance aggregation</w:t>
            </w:r>
          </w:p>
        </w:tc>
        <w:tc>
          <w:tcPr>
            <w:tcW w:type="dxa" w:w="2304"/>
            <w:vAlign w:val="center"/>
            <w:tcMar>
              <w:top w:w="90" w:type="dxa"/>
              <w:start w:w="120" w:type="dxa"/>
              <w:bottom w:w="90" w:type="dxa"/>
              <w:end w:w="120" w:type="dxa"/>
            </w:tcMar>
          </w:tcPr>
          <w:p>
            <w:pPr>
              <w:spacing w:after="0"/>
            </w:pPr>
            <w:r/>
            <w:r>
              <w:rPr>
                <w:rFonts w:ascii="Calibri" w:hAnsi="Calibri"/>
                <w:b w:val="0"/>
                <w:sz w:val="18"/>
              </w:rPr>
              <w:t>Collective Governance Evaluation history</w:t>
            </w:r>
          </w:p>
        </w:tc>
        <w:tc>
          <w:tcPr>
            <w:tcW w:type="dxa" w:w="1800"/>
            <w:vAlign w:val="center"/>
            <w:tcMar>
              <w:top w:w="90" w:type="dxa"/>
              <w:start w:w="120" w:type="dxa"/>
              <w:bottom w:w="90" w:type="dxa"/>
              <w:end w:w="120" w:type="dxa"/>
            </w:tcMar>
          </w:tcPr>
          <w:p>
            <w:pPr>
              <w:spacing w:after="0"/>
            </w:pPr>
            <w:r/>
            <w:r>
              <w:rPr>
                <w:rFonts w:ascii="Calibri" w:hAnsi="Calibri"/>
                <w:b w:val="0"/>
                <w:sz w:val="18"/>
              </w:rPr>
              <w:t>Collective body of Governance Attestations</w:t>
            </w:r>
          </w:p>
        </w:tc>
        <w:tc>
          <w:tcPr>
            <w:tcW w:type="dxa" w:w="3528"/>
            <w:vAlign w:val="center"/>
            <w:tcMar>
              <w:top w:w="90" w:type="dxa"/>
              <w:start w:w="120" w:type="dxa"/>
              <w:bottom w:w="90" w:type="dxa"/>
              <w:end w:w="120" w:type="dxa"/>
            </w:tcMar>
          </w:tcPr>
          <w:p>
            <w:pPr>
              <w:spacing w:after="0"/>
            </w:pPr>
            <w:r/>
            <w:r>
              <w:rPr>
                <w:rFonts w:ascii="Calibri" w:hAnsi="Calibri"/>
                <w:b w:val="0"/>
                <w:sz w:val="18"/>
              </w:rPr>
              <w:t>Enterprise Trust emerges from positive and negative attestations. It is not a separately created business artifact.</w:t>
            </w:r>
          </w:p>
        </w:tc>
      </w:tr>
    </w:tbl>
    <w:p>
      <w:pPr>
        <w:spacing w:after="20"/>
      </w:pPr>
    </w:p>
    <w:p>
      <w:pPr>
        <w:pStyle w:val="Heading1"/>
      </w:pPr>
      <w:r>
        <w:t>6. Projection Flow</w:t>
      </w:r>
    </w:p>
    <w:p>
      <w:pPr>
        <w:spacing w:before="120" w:after="200"/>
        <w:jc w:val="center"/>
      </w:pPr>
      <w:r>
        <w:rPr>
          <w:rFonts w:ascii="Courier New" w:hAnsi="Courier New"/>
          <w:color w:val="1F4D78"/>
          <w:sz w:val="20"/>
        </w:rPr>
        <w:t>Immutable Cognitive Record</w:t>
        <w:br/>
        <w:t xml:space="preserve">        │</w:t>
        <w:br/>
        <w:t xml:space="preserve">        ▼</w:t>
        <w:br/>
        <w:t>Authorized Outcome Rule (BCS)</w:t>
        <w:br/>
        <w:t xml:space="preserve">        │</w:t>
        <w:br/>
        <w:t xml:space="preserve">        ▼</w:t>
        <w:br/>
        <w:t>Effective / Current Determination (RFC-011)</w:t>
        <w:br/>
        <w:t xml:space="preserve">        │</w:t>
        <w:br/>
        <w:t xml:space="preserve">        ▼</w:t>
        <w:br/>
        <w:t>Projected Business Outcome</w:t>
        <w:br/>
        <w:t xml:space="preserve">        │</w:t>
        <w:br/>
        <w:t xml:space="preserve">        ▼</w:t>
        <w:br/>
        <w:t>Downstream Authorized Consumption</w:t>
      </w:r>
    </w:p>
    <w:p>
      <w:r>
        <w:t>Projection is a statement of business standing. CAM-001 does not require materialization, duplication, a new table, a new entity, or a particular query mechanism.</w:t>
      </w:r>
    </w:p>
    <w:p>
      <w:pPr>
        <w:pStyle w:val="Heading1"/>
      </w:pPr>
      <w:r>
        <w:t>7. Downstream Consumption Rules</w:t>
      </w:r>
    </w:p>
    <w:tbl>
      <w:tblPr>
        <w:tblStyle w:val="TableGrid"/>
        <w:tblW w:type="auto" w:w="0"/>
        <w:tblLayout w:type="fixed"/>
        <w:tblLook w:firstColumn="1" w:firstRow="1" w:lastColumn="0" w:lastRow="0" w:noHBand="0" w:noVBand="1" w:val="04A0"/>
      </w:tblPr>
      <w:tblGrid>
        <w:gridCol w:w="2088"/>
        <w:gridCol w:w="3528"/>
        <w:gridCol w:w="3744"/>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Consumer</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Consumes</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Does not imply</w:t>
            </w:r>
          </w:p>
        </w:tc>
      </w:tr>
      <w:tr>
        <w:tc>
          <w:tcPr>
            <w:tcW w:type="dxa" w:w="2088"/>
            <w:vAlign w:val="center"/>
            <w:tcMar>
              <w:top w:w="90" w:type="dxa"/>
              <w:start w:w="120" w:type="dxa"/>
              <w:bottom w:w="90" w:type="dxa"/>
              <w:end w:w="120" w:type="dxa"/>
            </w:tcMar>
          </w:tcPr>
          <w:p>
            <w:pPr>
              <w:spacing w:after="0"/>
            </w:pPr>
            <w:r/>
            <w:r>
              <w:rPr>
                <w:rFonts w:ascii="Calibri" w:hAnsi="Calibri"/>
                <w:b w:val="0"/>
                <w:sz w:val="18"/>
              </w:rPr>
              <w:t>Knowledge</w:t>
            </w:r>
          </w:p>
        </w:tc>
        <w:tc>
          <w:tcPr>
            <w:tcW w:type="dxa" w:w="3528"/>
            <w:vAlign w:val="center"/>
            <w:tcMar>
              <w:top w:w="90" w:type="dxa"/>
              <w:start w:w="120" w:type="dxa"/>
              <w:bottom w:w="90" w:type="dxa"/>
              <w:end w:w="120" w:type="dxa"/>
            </w:tcMar>
          </w:tcPr>
          <w:p>
            <w:pPr>
              <w:spacing w:after="0"/>
            </w:pPr>
            <w:r/>
            <w:r>
              <w:rPr>
                <w:rFonts w:ascii="Calibri" w:hAnsi="Calibri"/>
                <w:b w:val="0"/>
                <w:sz w:val="18"/>
              </w:rPr>
              <w:t>Assertion Record, Acceptance Evidence, and applicable policy as defined by KRM-001</w:t>
            </w:r>
          </w:p>
        </w:tc>
        <w:tc>
          <w:tcPr>
            <w:tcW w:type="dxa" w:w="3744"/>
            <w:vAlign w:val="center"/>
            <w:tcMar>
              <w:top w:w="90" w:type="dxa"/>
              <w:start w:w="120" w:type="dxa"/>
              <w:bottom w:w="90" w:type="dxa"/>
              <w:end w:w="120" w:type="dxa"/>
            </w:tcMar>
          </w:tcPr>
          <w:p>
            <w:pPr>
              <w:spacing w:after="0"/>
            </w:pPr>
            <w:r/>
            <w:r>
              <w:rPr>
                <w:rFonts w:ascii="Calibri" w:hAnsi="Calibri"/>
                <w:b w:val="0"/>
                <w:sz w:val="18"/>
              </w:rPr>
              <w:t>That every Assertion Record is Institutional Knowledge.</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Decision</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One or more Institutional Knowledge items established by Knowledge Evaluation</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That Decision consumes raw Knowledge Evaluation Records or non-institutionalized candidates.</w:t>
            </w:r>
          </w:p>
        </w:tc>
      </w:tr>
      <w:tr>
        <w:tc>
          <w:tcPr>
            <w:tcW w:type="dxa" w:w="2088"/>
            <w:vAlign w:val="center"/>
            <w:tcMar>
              <w:top w:w="90" w:type="dxa"/>
              <w:start w:w="120" w:type="dxa"/>
              <w:bottom w:w="90" w:type="dxa"/>
              <w:end w:w="120" w:type="dxa"/>
            </w:tcMar>
          </w:tcPr>
          <w:p>
            <w:pPr>
              <w:spacing w:after="0"/>
            </w:pPr>
            <w:r/>
            <w:r>
              <w:rPr>
                <w:rFonts w:ascii="Calibri" w:hAnsi="Calibri"/>
                <w:b w:val="0"/>
                <w:sz w:val="18"/>
              </w:rPr>
              <w:t>Governance</w:t>
            </w:r>
          </w:p>
        </w:tc>
        <w:tc>
          <w:tcPr>
            <w:tcW w:type="dxa" w:w="3528"/>
            <w:vAlign w:val="center"/>
            <w:tcMar>
              <w:top w:w="90" w:type="dxa"/>
              <w:start w:w="120" w:type="dxa"/>
              <w:bottom w:w="90" w:type="dxa"/>
              <w:end w:w="120" w:type="dxa"/>
            </w:tcMar>
          </w:tcPr>
          <w:p>
            <w:pPr>
              <w:spacing w:after="0"/>
            </w:pPr>
            <w:r/>
            <w:r>
              <w:rPr>
                <w:rFonts w:ascii="Calibri" w:hAnsi="Calibri"/>
                <w:b w:val="0"/>
                <w:sz w:val="18"/>
              </w:rPr>
              <w:t>Immutable records from Entity Resolution, Semantic Resolution, Assertion, Knowledge, and Decision</w:t>
            </w:r>
          </w:p>
        </w:tc>
        <w:tc>
          <w:tcPr>
            <w:tcW w:type="dxa" w:w="3744"/>
            <w:vAlign w:val="center"/>
            <w:tcMar>
              <w:top w:w="90" w:type="dxa"/>
              <w:start w:w="120" w:type="dxa"/>
              <w:bottom w:w="90" w:type="dxa"/>
              <w:end w:w="120" w:type="dxa"/>
            </w:tcMar>
          </w:tcPr>
          <w:p>
            <w:pPr>
              <w:spacing w:after="0"/>
            </w:pPr>
            <w:r/>
            <w:r>
              <w:rPr>
                <w:rFonts w:ascii="Calibri" w:hAnsi="Calibri"/>
                <w:b w:val="0"/>
                <w:sz w:val="18"/>
              </w:rPr>
              <w:t>That Governance changes, promotes, or re-projects the governed record.</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Product Access / PAD</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Authorized engine responses and runtime references</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That PAD owns business outcomes, canonical projection, or execution lifecycle semantics.</w:t>
            </w:r>
          </w:p>
        </w:tc>
      </w:tr>
      <w:tr>
        <w:tc>
          <w:tcPr>
            <w:tcW w:type="dxa" w:w="2088"/>
            <w:vAlign w:val="center"/>
            <w:tcMar>
              <w:top w:w="90" w:type="dxa"/>
              <w:start w:w="120" w:type="dxa"/>
              <w:bottom w:w="90" w:type="dxa"/>
              <w:end w:w="120" w:type="dxa"/>
            </w:tcMar>
          </w:tcPr>
          <w:p>
            <w:pPr>
              <w:spacing w:after="0"/>
            </w:pPr>
            <w:r/>
            <w:r>
              <w:rPr>
                <w:rFonts w:ascii="Calibri" w:hAnsi="Calibri"/>
                <w:b w:val="0"/>
                <w:sz w:val="18"/>
              </w:rPr>
              <w:t>Runtime architecture</w:t>
            </w:r>
          </w:p>
        </w:tc>
        <w:tc>
          <w:tcPr>
            <w:tcW w:type="dxa" w:w="3528"/>
            <w:vAlign w:val="center"/>
            <w:tcMar>
              <w:top w:w="90" w:type="dxa"/>
              <w:start w:w="120" w:type="dxa"/>
              <w:bottom w:w="90" w:type="dxa"/>
              <w:end w:w="120" w:type="dxa"/>
            </w:tcMar>
          </w:tcPr>
          <w:p>
            <w:pPr>
              <w:spacing w:after="0"/>
            </w:pPr>
            <w:r/>
            <w:r>
              <w:rPr>
                <w:rFonts w:ascii="Calibri" w:hAnsi="Calibri"/>
                <w:b w:val="0"/>
                <w:sz w:val="18"/>
              </w:rPr>
              <w:t>Opaque inputs, orchestration references, execution state, and outputs</w:t>
            </w:r>
          </w:p>
        </w:tc>
        <w:tc>
          <w:tcPr>
            <w:tcW w:type="dxa" w:w="3744"/>
            <w:vAlign w:val="center"/>
            <w:tcMar>
              <w:top w:w="90" w:type="dxa"/>
              <w:start w:w="120" w:type="dxa"/>
              <w:bottom w:w="90" w:type="dxa"/>
              <w:end w:w="120" w:type="dxa"/>
            </w:tcMar>
          </w:tcPr>
          <w:p>
            <w:pPr>
              <w:spacing w:after="0"/>
            </w:pPr>
            <w:r/>
            <w:r>
              <w:rPr>
                <w:rFonts w:ascii="Calibri" w:hAnsi="Calibri"/>
                <w:b w:val="0"/>
                <w:sz w:val="18"/>
              </w:rPr>
              <w:t>That Completed means Established, Institutionalized, Recommended, Compliant, or otherwise granted business standing.</w:t>
            </w:r>
          </w:p>
        </w:tc>
      </w:tr>
    </w:tbl>
    <w:p>
      <w:pPr>
        <w:spacing w:after="20"/>
      </w:pPr>
    </w:p>
    <w:p>
      <w:pPr>
        <w:pStyle w:val="Heading1"/>
      </w:pPr>
      <w:r>
        <w:t>8. Currentness, Effective Dating, and History</w:t>
      </w:r>
    </w:p>
    <w:p>
      <w:r>
        <w:t>Projection does not make immutable records mutable. When a new evaluation changes enterprise understanding, the capability creates a new immutable record. Currentness is then determined externally from ordered history under RFC-011 and the identity rules of the governing BCS.</w:t>
      </w:r>
    </w:p>
    <w:p>
      <w:pPr>
        <w:pStyle w:val="ListBullet"/>
      </w:pPr>
      <w:r>
        <w:t>Produced Timestamp determines creation order where required by RFC-011.</w:t>
      </w:r>
    </w:p>
    <w:p>
      <w:pPr>
        <w:pStyle w:val="ListBullet"/>
      </w:pPr>
      <w:r>
        <w:t>Effective From determines business effectiveness; future-effective records are not current before they become effective.</w:t>
      </w:r>
    </w:p>
    <w:p>
      <w:pPr>
        <w:pStyle w:val="ListBullet"/>
      </w:pPr>
      <w:r>
        <w:t>Backdated records participate in currentness according to RFC-011 ordering rules.</w:t>
      </w:r>
    </w:p>
    <w:p>
      <w:pPr>
        <w:pStyle w:val="ListBullet"/>
      </w:pPr>
      <w:r>
        <w:t>Historical records and their explanations remain preserved even when they no longer determine current understanding.</w:t>
      </w:r>
    </w:p>
    <w:p>
      <w:pPr>
        <w:pStyle w:val="Heading1"/>
      </w:pPr>
      <w:r>
        <w:t>9. Governance and Projection</w:t>
      </w:r>
    </w:p>
    <w:p>
      <w:r>
        <w:t>Governance is not a universal promotion step that converts every cognitive record into a canonical entity. Governance evaluates immutable enterprise understanding against governing policies and establishes a Governance Attestation. Knowledge separately evaluates Acceptance Evidence; only an Institutionalized Knowledge Evaluation establishes Institutional Knowledge.</w:t>
      </w:r>
    </w:p>
    <w:p>
      <w:r>
        <w:t>This separation preserves the approved rule: persistence records facts, cognition assigns meaning, capability evaluation establishes business outcomes, and governance grants or evaluates institutional standing only within its authorized specifications.</w:t>
      </w:r>
    </w:p>
    <w:p>
      <w:pPr>
        <w:pStyle w:val="Heading1"/>
      </w:pPr>
      <w:r>
        <w:t>10. Runtime Separation</w:t>
      </w:r>
    </w:p>
    <w:p>
      <w:r>
        <w:t>EIC-001, EOM-001, and ESM-001 govern invocation, orchestration, and execution state. Runtime state is operational metadata and has no canonical business projection.</w:t>
      </w:r>
    </w:p>
    <w:p>
      <w:r>
        <w:t>A Completed execution means only that runtime execution completed successfully. It does not mean that an Assertion was Established, Knowledge was Institutionalized, a Decision was Recommended, or Governance found a record Compliant. Those meanings arise exclusively from the corresponding immutable record and BCS outcome.</w:t>
      </w:r>
    </w:p>
    <w:p>
      <w:pPr>
        <w:pStyle w:val="Heading1"/>
      </w:pPr>
      <w:r>
        <w:t>11. Non-Goals</w:t>
      </w:r>
    </w:p>
    <w:p>
      <w:pPr>
        <w:pStyle w:val="ListBullet"/>
      </w:pPr>
      <w:r>
        <w:t>Create or modify CEO entities, attributes, relationships, or lifecycle.</w:t>
      </w:r>
    </w:p>
    <w:p>
      <w:pPr>
        <w:pStyle w:val="ListBullet"/>
      </w:pPr>
      <w:r>
        <w:t>Define persistence tables, ORM models, projections, views, APIs, DTOs, events, or caches.</w:t>
      </w:r>
    </w:p>
    <w:p>
      <w:pPr>
        <w:pStyle w:val="ListBullet"/>
      </w:pPr>
      <w:r>
        <w:t>Authorize a new Canonical Knowledge, Canonical Decision, or Canonical Governance entity.</w:t>
      </w:r>
    </w:p>
    <w:p>
      <w:pPr>
        <w:pStyle w:val="ListBullet"/>
      </w:pPr>
      <w:r>
        <w:t>Change any BCS outcome, input, artifact, or currentness rule.</w:t>
      </w:r>
    </w:p>
    <w:p>
      <w:pPr>
        <w:pStyle w:val="ListBullet"/>
      </w:pPr>
      <w:r>
        <w:t>Make PAD or runtime architecture responsible for business standing.</w:t>
      </w:r>
    </w:p>
    <w:p>
      <w:pPr>
        <w:pStyle w:val="ListBullet"/>
      </w:pPr>
      <w:r>
        <w:t>Define implementation strategy for materialized or computed views.</w:t>
      </w:r>
    </w:p>
    <w:p>
      <w:pPr>
        <w:pStyle w:val="Heading1"/>
      </w:pPr>
      <w:r>
        <w:t>12. Traceability</w:t>
      </w:r>
    </w:p>
    <w:tbl>
      <w:tblPr>
        <w:tblStyle w:val="TableGrid"/>
        <w:tblW w:type="auto" w:w="0"/>
        <w:tblLayout w:type="fixed"/>
        <w:tblLook w:firstColumn="1" w:firstRow="1" w:lastColumn="0" w:lastRow="0" w:noHBand="0" w:noVBand="1" w:val="04A0"/>
      </w:tblPr>
      <w:tblGrid>
        <w:gridCol w:w="2232"/>
        <w:gridCol w:w="7128"/>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Authority</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Contribution</w:t>
            </w:r>
          </w:p>
        </w:tc>
      </w:tr>
      <w:tr>
        <w:tc>
          <w:tcPr>
            <w:tcW w:type="dxa" w:w="2232"/>
            <w:vAlign w:val="center"/>
            <w:tcMar>
              <w:top w:w="90" w:type="dxa"/>
              <w:start w:w="120" w:type="dxa"/>
              <w:bottom w:w="90" w:type="dxa"/>
              <w:end w:w="120" w:type="dxa"/>
            </w:tcMar>
          </w:tcPr>
          <w:p>
            <w:pPr>
              <w:spacing w:after="0"/>
            </w:pPr>
            <w:r/>
            <w:r>
              <w:rPr>
                <w:rFonts w:ascii="Calibri" w:hAnsi="Calibri"/>
                <w:b w:val="0"/>
                <w:sz w:val="18"/>
              </w:rPr>
              <w:t>EAH-001</w:t>
            </w:r>
          </w:p>
        </w:tc>
        <w:tc>
          <w:tcPr>
            <w:tcW w:type="dxa" w:w="7128"/>
            <w:vAlign w:val="center"/>
            <w:tcMar>
              <w:top w:w="90" w:type="dxa"/>
              <w:start w:w="120" w:type="dxa"/>
              <w:bottom w:w="90" w:type="dxa"/>
              <w:end w:w="120" w:type="dxa"/>
            </w:tcMar>
          </w:tcPr>
          <w:p>
            <w:pPr>
              <w:spacing w:after="0"/>
            </w:pPr>
            <w:r/>
            <w:r>
              <w:rPr>
                <w:rFonts w:ascii="Calibri" w:hAnsi="Calibri"/>
                <w:b w:val="0"/>
                <w:sz w:val="18"/>
              </w:rPr>
              <w:t>Architecture hierarchy and separation of ontology, cognition, BCS, CDD, and code.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RFC-010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CEO boundary and prohibition on cognitive modification of canonical structure.</w:t>
            </w:r>
          </w:p>
        </w:tc>
      </w:tr>
      <w:tr>
        <w:tc>
          <w:tcPr>
            <w:tcW w:type="dxa" w:w="2232"/>
            <w:vAlign w:val="center"/>
            <w:tcMar>
              <w:top w:w="90" w:type="dxa"/>
              <w:start w:w="120" w:type="dxa"/>
              <w:bottom w:w="90" w:type="dxa"/>
              <w:end w:w="120" w:type="dxa"/>
            </w:tcMar>
          </w:tcPr>
          <w:p>
            <w:pPr>
              <w:spacing w:after="0"/>
            </w:pPr>
            <w:r/>
            <w:r>
              <w:rPr>
                <w:rFonts w:ascii="Calibri" w:hAnsi="Calibri"/>
                <w:b w:val="0"/>
                <w:sz w:val="18"/>
              </w:rPr>
              <w:t>RFC-011</w:t>
            </w:r>
          </w:p>
        </w:tc>
        <w:tc>
          <w:tcPr>
            <w:tcW w:type="dxa" w:w="7128"/>
            <w:vAlign w:val="center"/>
            <w:tcMar>
              <w:top w:w="90" w:type="dxa"/>
              <w:start w:w="120" w:type="dxa"/>
              <w:bottom w:w="90" w:type="dxa"/>
              <w:end w:w="120" w:type="dxa"/>
            </w:tcMar>
          </w:tcPr>
          <w:p>
            <w:pPr>
              <w:spacing w:after="0"/>
            </w:pPr>
            <w:r/>
            <w:r>
              <w:rPr>
                <w:rFonts w:ascii="Calibri" w:hAnsi="Calibri"/>
                <w:b w:val="0"/>
                <w:sz w:val="18"/>
              </w:rPr>
              <w:t>Immutable-record lifecycle and external currentness.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ERM-001 v2.1</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Identity Resolution outcome semantics.</w:t>
            </w:r>
          </w:p>
        </w:tc>
      </w:tr>
      <w:tr>
        <w:tc>
          <w:tcPr>
            <w:tcW w:type="dxa" w:w="2232"/>
            <w:vAlign w:val="center"/>
            <w:tcMar>
              <w:top w:w="90" w:type="dxa"/>
              <w:start w:w="120" w:type="dxa"/>
              <w:bottom w:w="90" w:type="dxa"/>
              <w:end w:w="120" w:type="dxa"/>
            </w:tcMar>
          </w:tcPr>
          <w:p>
            <w:pPr>
              <w:spacing w:after="0"/>
            </w:pPr>
            <w:r/>
            <w:r>
              <w:rPr>
                <w:rFonts w:ascii="Calibri" w:hAnsi="Calibri"/>
                <w:b w:val="0"/>
                <w:sz w:val="18"/>
              </w:rPr>
              <w:t>SRM-001 v2.1</w:t>
            </w:r>
          </w:p>
        </w:tc>
        <w:tc>
          <w:tcPr>
            <w:tcW w:type="dxa" w:w="7128"/>
            <w:vAlign w:val="center"/>
            <w:tcMar>
              <w:top w:w="90" w:type="dxa"/>
              <w:start w:w="120" w:type="dxa"/>
              <w:bottom w:w="90" w:type="dxa"/>
              <w:end w:w="120" w:type="dxa"/>
            </w:tcMar>
          </w:tcPr>
          <w:p>
            <w:pPr>
              <w:spacing w:after="0"/>
            </w:pPr>
            <w:r/>
            <w:r>
              <w:rPr>
                <w:rFonts w:ascii="Calibri" w:hAnsi="Calibri"/>
                <w:b w:val="0"/>
                <w:sz w:val="18"/>
              </w:rPr>
              <w:t>Semantic Resolution outcome semantics.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ASM-001 v2.0</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Assertion Record and Established/Candidate/Rejected outcomes.</w:t>
            </w:r>
          </w:p>
        </w:tc>
      </w:tr>
      <w:tr>
        <w:tc>
          <w:tcPr>
            <w:tcW w:type="dxa" w:w="2232"/>
            <w:vAlign w:val="center"/>
            <w:tcMar>
              <w:top w:w="90" w:type="dxa"/>
              <w:start w:w="120" w:type="dxa"/>
              <w:bottom w:w="90" w:type="dxa"/>
              <w:end w:w="120" w:type="dxa"/>
            </w:tcMar>
          </w:tcPr>
          <w:p>
            <w:pPr>
              <w:spacing w:after="0"/>
            </w:pPr>
            <w:r/>
            <w:r>
              <w:rPr>
                <w:rFonts w:ascii="Calibri" w:hAnsi="Calibri"/>
                <w:b w:val="0"/>
                <w:sz w:val="18"/>
              </w:rPr>
              <w:t>AEM-001 v1.0</w:t>
            </w:r>
          </w:p>
        </w:tc>
        <w:tc>
          <w:tcPr>
            <w:tcW w:type="dxa" w:w="7128"/>
            <w:vAlign w:val="center"/>
            <w:tcMar>
              <w:top w:w="90" w:type="dxa"/>
              <w:start w:w="120" w:type="dxa"/>
              <w:bottom w:w="90" w:type="dxa"/>
              <w:end w:w="120" w:type="dxa"/>
            </w:tcMar>
          </w:tcPr>
          <w:p>
            <w:pPr>
              <w:spacing w:after="0"/>
            </w:pPr>
            <w:r/>
            <w:r>
              <w:rPr>
                <w:rFonts w:ascii="Calibri" w:hAnsi="Calibri"/>
                <w:b w:val="0"/>
                <w:sz w:val="18"/>
              </w:rPr>
              <w:t>Acceptance Evidence contract.</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KRM-001 v1.2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Knowledge Evaluation and Institutional Knowledge projection.</w:t>
            </w:r>
          </w:p>
        </w:tc>
      </w:tr>
      <w:tr>
        <w:tc>
          <w:tcPr>
            <w:tcW w:type="dxa" w:w="2232"/>
            <w:vAlign w:val="center"/>
            <w:tcMar>
              <w:top w:w="90" w:type="dxa"/>
              <w:start w:w="120" w:type="dxa"/>
              <w:bottom w:w="90" w:type="dxa"/>
              <w:end w:w="120" w:type="dxa"/>
            </w:tcMar>
          </w:tcPr>
          <w:p>
            <w:pPr>
              <w:spacing w:after="0"/>
            </w:pPr>
            <w:r/>
            <w:r>
              <w:rPr>
                <w:rFonts w:ascii="Calibri" w:hAnsi="Calibri"/>
                <w:b w:val="0"/>
                <w:sz w:val="18"/>
              </w:rPr>
              <w:t>DRM-001 v1.1</w:t>
            </w:r>
          </w:p>
        </w:tc>
        <w:tc>
          <w:tcPr>
            <w:tcW w:type="dxa" w:w="7128"/>
            <w:vAlign w:val="center"/>
            <w:tcMar>
              <w:top w:w="90" w:type="dxa"/>
              <w:start w:w="120" w:type="dxa"/>
              <w:bottom w:w="90" w:type="dxa"/>
              <w:end w:w="120" w:type="dxa"/>
            </w:tcMar>
          </w:tcPr>
          <w:p>
            <w:pPr>
              <w:spacing w:after="0"/>
            </w:pPr>
            <w:r/>
            <w:r>
              <w:rPr>
                <w:rFonts w:ascii="Calibri" w:hAnsi="Calibri"/>
                <w:b w:val="0"/>
                <w:sz w:val="18"/>
              </w:rPr>
              <w:t>Decision Evaluation and Enterprise Decision projection.</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GEM-001 v1.0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Exception Authorization contract.</w:t>
            </w:r>
          </w:p>
        </w:tc>
      </w:tr>
      <w:tr>
        <w:tc>
          <w:tcPr>
            <w:tcW w:type="dxa" w:w="2232"/>
            <w:vAlign w:val="center"/>
            <w:tcMar>
              <w:top w:w="90" w:type="dxa"/>
              <w:start w:w="120" w:type="dxa"/>
              <w:bottom w:w="90" w:type="dxa"/>
              <w:end w:w="120" w:type="dxa"/>
            </w:tcMar>
          </w:tcPr>
          <w:p>
            <w:pPr>
              <w:spacing w:after="0"/>
            </w:pPr>
            <w:r/>
            <w:r>
              <w:rPr>
                <w:rFonts w:ascii="Calibri" w:hAnsi="Calibri"/>
                <w:b w:val="0"/>
                <w:sz w:val="18"/>
              </w:rPr>
              <w:t>GRM-001 v1.1</w:t>
            </w:r>
          </w:p>
        </w:tc>
        <w:tc>
          <w:tcPr>
            <w:tcW w:type="dxa" w:w="7128"/>
            <w:vAlign w:val="center"/>
            <w:tcMar>
              <w:top w:w="90" w:type="dxa"/>
              <w:start w:w="120" w:type="dxa"/>
              <w:bottom w:w="90" w:type="dxa"/>
              <w:end w:w="120" w:type="dxa"/>
            </w:tcMar>
          </w:tcPr>
          <w:p>
            <w:pPr>
              <w:spacing w:after="0"/>
            </w:pPr>
            <w:r/>
            <w:r>
              <w:rPr>
                <w:rFonts w:ascii="Calibri" w:hAnsi="Calibri"/>
                <w:b w:val="0"/>
                <w:sz w:val="18"/>
              </w:rPr>
              <w:t>Governance Evaluation, Attestation, and Enterprise Trust semantics.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EIC/EOM/ESM v1.1</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Runtime boundary that remains outside canonical business projection.</w:t>
            </w:r>
          </w:p>
        </w:tc>
      </w:tr>
      <w:tr>
        <w:tc>
          <w:tcPr>
            <w:tcW w:type="dxa" w:w="2232"/>
            <w:vAlign w:val="center"/>
            <w:tcMar>
              <w:top w:w="90" w:type="dxa"/>
              <w:start w:w="120" w:type="dxa"/>
              <w:bottom w:w="90" w:type="dxa"/>
              <w:end w:w="120" w:type="dxa"/>
            </w:tcMar>
          </w:tcPr>
          <w:p>
            <w:pPr>
              <w:spacing w:after="0"/>
            </w:pPr>
            <w:r/>
            <w:r>
              <w:rPr>
                <w:rFonts w:ascii="Calibri" w:hAnsi="Calibri"/>
                <w:b w:val="0"/>
                <w:sz w:val="18"/>
              </w:rPr>
              <w:t>PAD-001 v1.2</w:t>
            </w:r>
          </w:p>
        </w:tc>
        <w:tc>
          <w:tcPr>
            <w:tcW w:type="dxa" w:w="7128"/>
            <w:vAlign w:val="center"/>
            <w:tcMar>
              <w:top w:w="90" w:type="dxa"/>
              <w:start w:w="120" w:type="dxa"/>
              <w:bottom w:w="90" w:type="dxa"/>
              <w:end w:w="120" w:type="dxa"/>
            </w:tcMar>
          </w:tcPr>
          <w:p>
            <w:pPr>
              <w:spacing w:after="0"/>
            </w:pPr>
            <w:r/>
            <w:r>
              <w:rPr>
                <w:rFonts w:ascii="Calibri" w:hAnsi="Calibri"/>
                <w:b w:val="0"/>
                <w:sz w:val="18"/>
              </w:rPr>
              <w:t>Product access boundary and runtime observation contract.</w:t>
            </w:r>
          </w:p>
        </w:tc>
      </w:tr>
    </w:tbl>
    <w:p>
      <w:pPr>
        <w:spacing w:after="20"/>
      </w:pPr>
    </w:p>
    <w:p>
      <w:pPr>
        <w:pStyle w:val="Heading1"/>
      </w:pPr>
      <w:r>
        <w:t>13. Architecture Drift Validation</w:t>
      </w:r>
    </w:p>
    <w:p>
      <w:pPr>
        <w:pStyle w:val="ListBullet"/>
      </w:pPr>
      <w:r>
        <w:t>No business entity is introduced or modified.</w:t>
      </w:r>
    </w:p>
    <w:p>
      <w:pPr>
        <w:pStyle w:val="ListBullet"/>
      </w:pPr>
      <w:r>
        <w:t>No canonical attribute or relationship is introduced or modified.</w:t>
      </w:r>
    </w:p>
    <w:p>
      <w:pPr>
        <w:pStyle w:val="ListBullet"/>
      </w:pPr>
      <w:r>
        <w:t>No RFC is modified or bypassed.</w:t>
      </w:r>
    </w:p>
    <w:p>
      <w:pPr>
        <w:pStyle w:val="ListBullet"/>
      </w:pPr>
      <w:r>
        <w:t>No BCS business semantics are redefined.</w:t>
      </w:r>
    </w:p>
    <w:p>
      <w:pPr>
        <w:pStyle w:val="ListBullet"/>
      </w:pPr>
      <w:r>
        <w:t>No architecture layer is bypassed.</w:t>
      </w:r>
    </w:p>
    <w:p>
      <w:pPr>
        <w:pStyle w:val="ListBullet"/>
      </w:pPr>
      <w:r>
        <w:t>No implementation technology is introduced.</w:t>
      </w:r>
    </w:p>
    <w:p>
      <w:pPr>
        <w:pStyle w:val="ListBullet"/>
      </w:pPr>
      <w:r>
        <w:t>CAM-001 defines mapping and precedence only.</w:t>
      </w:r>
    </w:p>
    <w:p>
      <w:pPr>
        <w:pStyle w:val="Heading1"/>
      </w:pPr>
      <w:r>
        <w:t>14. Decision Summary</w:t>
      </w:r>
    </w:p>
    <w:p>
      <w:r>
        <w:rPr>
          <w:b/>
        </w:rPr>
        <w:t>Immutable cognitive records preserve how enterprise understanding was evaluated. Projected business outcomes express the standing established by those records. The CEO remains structural enterprise reality, and runtime remains operational execution.</w:t>
      </w:r>
    </w:p>
    <w:p>
      <w:r>
        <w:t>These planes are related through explicit BCS-governed projection, but they are never interchangeable.</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6"/>
      </w:rPr>
      <w:t xml:space="preserve">CTEC Architecture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CAM-001  |  CANONICAL PROJECTION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CAM-001 — Canonical Projection Model</dc:title>
  <dc:subject>Mapping immutable cognitive records to authoritative business outcomes</dc:subject>
  <dc:creator>CTEC Architecture</dc:creator>
  <cp:keywords>CTEC, ECOM, canonical projection, cognitive records, business outcomes</cp:keywords>
  <dc:description>generated by python-docx</dc:description>
  <cp:lastModifiedBy/>
  <cp:revision>1</cp:revision>
  <dcterms:created xsi:type="dcterms:W3CDTF">2013-12-23T23:15:00Z</dcterms:created>
  <dcterms:modified xsi:type="dcterms:W3CDTF">2013-12-23T23:15:00Z</dcterms:modified>
  <cp:category/>
</cp:coreProperties>
</file>