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80"/>
        <w:jc w:val="center"/>
        <w:pBdr>
          <w:bottom w:val="single" w:sz="12" w:space="12" w:color="4472C4"/>
        </w:pBdr>
      </w:pPr>
      <w:r>
        <w:rPr>
          <w:rFonts w:ascii="Aptos" w:hAnsi="Aptos"/>
          <w:b w:val="0"/>
          <w:color w:val="1F4E79"/>
          <w:sz w:val="52"/>
        </w:rPr>
        <w:t>EOM-001 — Cognitive Engine</w:t>
        <w:br/>
        <w:t>Orchestration Architecture</w:t>
      </w:r>
    </w:p>
    <w:p>
      <w:pPr>
        <w:spacing w:after="40"/>
        <w:jc w:val="center"/>
      </w:pPr>
      <w:r>
        <w:rPr>
          <w:b w:val="0"/>
        </w:rPr>
        <w:t>Version 1.1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Status: FROZEN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Document Type: Runtime Architecture Specification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Authority: Cognitive Engine Runtime Architecture</w:t>
      </w:r>
    </w:p>
    <w:p>
      <w:pPr>
        <w:pStyle w:val="Heading1"/>
      </w:pPr>
      <w:r>
        <w:t>Document Classification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2880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Item</w:t>
            </w:r>
          </w:p>
        </w:tc>
        <w:tc>
          <w:tcPr>
            <w:tcW w:type="dxa" w:w="5760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Document ID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EOM-001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Title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Cognitive Engine Orchestration Architecture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Version</w:t>
            </w:r>
          </w:p>
        </w:tc>
        <w:tc>
          <w:tcPr>
            <w:tcW w:type="dxa" w:w="5760"/>
            <w:vAlign w:val="center"/>
          </w:tcPr>
          <w:p>
            <w:r>
              <w:t>1.1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Status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FROZEN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Document Type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Runtime Architecture Specification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Authority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Cognitive Engine Runtime Architecture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Depends On</w:t>
            </w:r>
          </w:p>
        </w:tc>
        <w:tc>
          <w:tcPr>
            <w:tcW w:type="dxa" w:w="5760"/>
            <w:vAlign w:val="center"/>
          </w:tcPr>
          <w:p>
            <w:r>
              <w:t>EAH-001, RFC-010, RFC-011, CDS-001, EIC-001 v1.1, ESM-001 v1.1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Consumed By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CDD-010</w:t>
            </w:r>
          </w:p>
        </w:tc>
      </w:tr>
    </w:tbl>
    <w:p/>
    <w:p>
      <w:pPr>
        <w:pStyle w:val="Heading1"/>
      </w:pPr>
      <w:r>
        <w:t>Revision History</w:t>
      </w:r>
    </w:p>
    <w:p>
      <w:r>
        <w:rPr>
          <w:b/>
        </w:rPr>
        <w:t xml:space="preserve">Version 1.1 — Clarification Release. </w:t>
      </w:r>
      <w:r>
        <w:t>Clarifies admission handoff, internal retry, partial completion, and ESM ownership of state semantics.</w:t>
      </w:r>
    </w:p>
    <w:p>
      <w:pPr>
        <w:pStyle w:val="Heading1"/>
      </w:pPr>
      <w:r>
        <w:t>1. Executive Summary</w:t>
      </w:r>
    </w:p>
    <w:p>
      <w:pPr>
        <w:pStyle w:val="Heading2"/>
      </w:pPr>
      <w:r>
        <w:t>Purpose</w:t>
      </w:r>
    </w:p>
    <w:p>
      <w:r>
        <w:rPr>
          <w:rFonts w:ascii="Georgia" w:hAnsi="Georgia"/>
          <w:b w:val="0"/>
          <w:sz w:val="22"/>
        </w:rPr>
        <w:t>The Cognitive Engine Orchestration Architecture defines the runtime orchestration authority of the CTEC Cognitive Engine.</w:t>
      </w:r>
    </w:p>
    <w:p>
      <w:r>
        <w:rPr>
          <w:rFonts w:ascii="Georgia" w:hAnsi="Georgia"/>
          <w:b w:val="0"/>
          <w:sz w:val="22"/>
        </w:rPr>
        <w:t>It establishes how the Cognitive Engine coordinates execution of its internal capabilities while preserving complete isolation from runtime consumers.</w:t>
      </w:r>
    </w:p>
    <w:p>
      <w:r>
        <w:rPr>
          <w:rFonts w:ascii="Georgia" w:hAnsi="Georgia"/>
          <w:b w:val="0"/>
          <w:sz w:val="22"/>
        </w:rPr>
        <w:t>The orchestration architecture does not define business semantics.</w:t>
      </w:r>
    </w:p>
    <w:p>
      <w:r>
        <w:rPr>
          <w:rFonts w:ascii="Georgia" w:hAnsi="Georgia"/>
          <w:b w:val="0"/>
          <w:sz w:val="22"/>
        </w:rPr>
        <w:t>The orchestration architecture does not define workflow technology.</w:t>
      </w:r>
    </w:p>
    <w:p>
      <w:r>
        <w:rPr>
          <w:rFonts w:ascii="Georgia" w:hAnsi="Georgia"/>
          <w:b w:val="0"/>
          <w:sz w:val="22"/>
        </w:rPr>
        <w:t>The orchestration architecture does not define implementation.</w:t>
      </w:r>
    </w:p>
    <w:p>
      <w:r>
        <w:rPr>
          <w:rFonts w:ascii="Georgia" w:hAnsi="Georgia"/>
          <w:b w:val="0"/>
          <w:sz w:val="22"/>
        </w:rPr>
        <w:t>It defines only runtime orchestration authority and orchestration responsibilities.</w:t>
      </w:r>
    </w:p>
    <w:p>
      <w:pPr>
        <w:pStyle w:val="Heading1"/>
      </w:pPr>
      <w:r>
        <w:t>2. Architectural Position</w:t>
      </w:r>
    </w:p>
    <w:p>
      <w:pPr>
        <w:jc w:val="center"/>
      </w:pPr>
      <w:r>
        <w:rPr>
          <w:rFonts w:ascii="Courier New" w:hAnsi="Courier New"/>
          <w:b w:val="0"/>
          <w:sz w:val="20"/>
        </w:rPr>
        <w:t>Product Layer</w:t>
        <w:br/>
        <w:t>│</w:t>
        <w:br/>
        <w:t>▼</w:t>
        <w:br/>
        <w:t>Product Access Protocol</w:t>
        <w:br/>
        <w:t>│</w:t>
        <w:br/>
        <w:t>▼</w:t>
        <w:br/>
        <w:t>Engine Access Facade</w:t>
        <w:br/>
        <w:t>│</w:t>
        <w:br/>
        <w:t>▼</w:t>
        <w:br/>
        <w:t>Cognitive Engine Invocation Architecture</w:t>
        <w:br/>
        <w:t>│</w:t>
        <w:br/>
        <w:t>▼</w:t>
        <w:br/>
        <w:t>Cognitive Engine Orchestration Architecture</w:t>
        <w:br/>
        <w:t>│</w:t>
        <w:br/>
        <w:t>▼</w:t>
        <w:br/>
        <w:t>ERM → SRM → ASM → KRM → DRM → GRM</w:t>
      </w:r>
    </w:p>
    <w:p>
      <w:pPr>
        <w:pStyle w:val="Heading1"/>
      </w:pPr>
      <w:r>
        <w:t>3. Scope</w:t>
      </w:r>
    </w:p>
    <w:p>
      <w:pPr>
        <w:pStyle w:val="Heading2"/>
      </w:pPr>
      <w:r>
        <w:t>EOM Owns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Runtime orchestration authority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Capability coordination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ordering authority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Dependency management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Completion determination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Failure propagation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Runtime orchestration boundaries</w:t>
      </w:r>
    </w:p>
    <w:p>
      <w:pPr>
        <w:pStyle w:val="Heading2"/>
      </w:pPr>
      <w:r>
        <w:t>EOM Does Not Own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Business semantics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Capability implementation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Product requests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Product protocols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Persistence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Transport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Workflow engines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BPMN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Scheduling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UI</w:t>
      </w:r>
    </w:p>
    <w:p>
      <w:pPr>
        <w:pStyle w:val="Heading1"/>
      </w:pPr>
      <w:r>
        <w:t>4. Orchestration Principles</w:t>
      </w:r>
    </w:p>
    <w:p>
      <w:pPr>
        <w:pStyle w:val="Heading2"/>
      </w:pPr>
      <w:r>
        <w:t>EOP-001 — Single Orchestrator</w:t>
      </w:r>
    </w:p>
    <w:p>
      <w:r>
        <w:rPr>
          <w:rFonts w:ascii="Georgia" w:hAnsi="Georgia"/>
          <w:b w:val="0"/>
          <w:sz w:val="22"/>
        </w:rPr>
        <w:t>The Cognitive Engine SHALL coordinate execution through one orchestration authority.</w:t>
      </w:r>
    </w:p>
    <w:p>
      <w:r>
        <w:rPr>
          <w:rFonts w:ascii="Georgia" w:hAnsi="Georgia"/>
          <w:b w:val="0"/>
          <w:sz w:val="22"/>
        </w:rPr>
        <w:t>No external component may orchestrate internal cognitive capabilities.</w:t>
      </w:r>
    </w:p>
    <w:p>
      <w:pPr>
        <w:pStyle w:val="Heading2"/>
      </w:pPr>
      <w:r>
        <w:t>EOP-002 — Internal Authority</w:t>
      </w:r>
    </w:p>
    <w:p>
      <w:r>
        <w:rPr>
          <w:rFonts w:ascii="Georgia" w:hAnsi="Georgia"/>
          <w:b w:val="0"/>
          <w:sz w:val="22"/>
        </w:rPr>
        <w:t>Runtime consumers SHALL request enterprise cognition only.</w:t>
      </w:r>
    </w:p>
    <w:p>
      <w:r>
        <w:rPr>
          <w:rFonts w:ascii="Georgia" w:hAnsi="Georgia"/>
          <w:b w:val="0"/>
          <w:sz w:val="22"/>
        </w:rPr>
        <w:t>They SHALL NOT specify capability execution order.</w:t>
      </w:r>
    </w:p>
    <w:p>
      <w:pPr>
        <w:pStyle w:val="Heading2"/>
      </w:pPr>
      <w:r>
        <w:t>EOP-003 — Capability Independence</w:t>
      </w:r>
    </w:p>
    <w:p>
      <w:r>
        <w:rPr>
          <w:rFonts w:ascii="Georgia" w:hAnsi="Georgia"/>
          <w:b w:val="0"/>
          <w:sz w:val="22"/>
        </w:rPr>
        <w:t>Each cognitive capability remains independently responsible for its own business behavior.</w:t>
      </w:r>
    </w:p>
    <w:p>
      <w:r>
        <w:rPr>
          <w:rFonts w:ascii="Georgia" w:hAnsi="Georgia"/>
          <w:b w:val="0"/>
          <w:sz w:val="22"/>
        </w:rPr>
        <w:t>Orchestration coordinates execution.</w:t>
      </w:r>
    </w:p>
    <w:p>
      <w:r>
        <w:rPr>
          <w:rFonts w:ascii="Georgia" w:hAnsi="Georgia"/>
          <w:b w:val="0"/>
          <w:sz w:val="22"/>
        </w:rPr>
        <w:t>It does not replace capability ownership.</w:t>
      </w:r>
    </w:p>
    <w:p>
      <w:pPr>
        <w:pStyle w:val="Heading2"/>
      </w:pPr>
      <w:r>
        <w:t>EOP-004 — Deterministic Coordination</w:t>
      </w:r>
    </w:p>
    <w:p>
      <w:r>
        <w:rPr>
          <w:rFonts w:ascii="Georgia" w:hAnsi="Georgia"/>
          <w:b w:val="0"/>
          <w:sz w:val="22"/>
        </w:rPr>
        <w:t>Given equivalent runtime inputs, orchestration SHALL coordinate execution consistently according to the architecture.</w:t>
      </w:r>
    </w:p>
    <w:p>
      <w:pPr>
        <w:pStyle w:val="Heading2"/>
      </w:pPr>
      <w:r>
        <w:t>EOP-005 — Encapsulation</w:t>
      </w:r>
    </w:p>
    <w:p>
      <w:r>
        <w:rPr>
          <w:rFonts w:ascii="Georgia" w:hAnsi="Georgia"/>
          <w:b w:val="0"/>
          <w:sz w:val="22"/>
        </w:rPr>
        <w:t>Internal orchestration SHALL remain invisible to runtime consumers.</w:t>
      </w:r>
    </w:p>
    <w:p>
      <w:pPr>
        <w:pStyle w:val="Heading2"/>
      </w:pPr>
      <w:r>
        <w:t>EOP-006 — Runtime Independence</w:t>
      </w:r>
    </w:p>
    <w:p>
      <w:r>
        <w:rPr>
          <w:rFonts w:ascii="Georgia" w:hAnsi="Georgia"/>
          <w:b w:val="0"/>
          <w:sz w:val="22"/>
        </w:rPr>
        <w:t>The orchestration architecture SHALL remain independent of implementation technology.</w:t>
      </w:r>
    </w:p>
    <w:p>
      <w:pPr>
        <w:pStyle w:val="Heading1"/>
      </w:pPr>
      <w:r>
        <w:t>5. Orchestration Boundary</w:t>
      </w:r>
    </w:p>
    <w:p>
      <w:pPr/>
      <w:r>
        <w:t>The orchestration boundary begins after EIC-001 admits an invocation at Accepted and transfers ownership to EOM-001.</w:t>
      </w:r>
    </w:p>
    <w:p>
      <w:pPr/>
      <w:r>
        <w:t>EOM coordinates execution beginning with the transition to Executing. The boundary ends when EOM determines successful completion or execution failure under ESM-001 semantics.</w:t>
      </w:r>
    </w:p>
    <w:p>
      <w:pPr/>
      <w:r>
        <w:t>Products and EIC do not participate within the orchestration boundary after handoff.</w:t>
      </w:r>
    </w:p>
    <w:p>
      <w:pPr>
        <w:pStyle w:val="Heading1"/>
      </w:pPr>
      <w:r>
        <w:t>6. Orchestration Responsibilities</w:t>
      </w:r>
    </w:p>
    <w:p>
      <w:r>
        <w:rPr>
          <w:rFonts w:ascii="Georgia" w:hAnsi="Georgia"/>
          <w:b w:val="0"/>
          <w:sz w:val="22"/>
        </w:rPr>
        <w:t>The Cognitive Engine Orchestrator SHALL: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determine execution sequence;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determine execution dependencies;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coordinate execution;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determine completion;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determine failure propagation;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coordinate runtime references.</w:t>
      </w:r>
    </w:p>
    <w:p>
      <w:r>
        <w:rPr>
          <w:rFonts w:ascii="Georgia" w:hAnsi="Georgia"/>
          <w:b w:val="0"/>
          <w:sz w:val="22"/>
        </w:rPr>
        <w:t>The Orchestrator SHALL NOT: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change business semantics;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create ontology;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modify canonical architecture;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expose internal execution.</w:t>
      </w:r>
    </w:p>
    <w:p>
      <w:pPr>
        <w:pStyle w:val="Heading1"/>
      </w:pPr>
      <w:r>
        <w:t>7. Capability Coordination</w:t>
      </w:r>
    </w:p>
    <w:p>
      <w:r>
        <w:rPr>
          <w:rFonts w:ascii="Georgia" w:hAnsi="Georgia"/>
          <w:b w:val="0"/>
          <w:sz w:val="22"/>
        </w:rPr>
        <w:t>The Cognitive Engine coordinates the following capabilities:</w:t>
      </w:r>
    </w:p>
    <w:p>
      <w:pPr>
        <w:jc w:val="center"/>
      </w:pPr>
      <w:r>
        <w:rPr>
          <w:rFonts w:ascii="Courier New" w:hAnsi="Courier New"/>
          <w:b w:val="0"/>
          <w:sz w:val="20"/>
        </w:rPr>
        <w:t>Entity Resolution</w:t>
        <w:br/>
        <w:t>↓</w:t>
        <w:br/>
        <w:t>Semantic Resolution</w:t>
        <w:br/>
        <w:t>↓</w:t>
        <w:br/>
        <w:t>Assertion</w:t>
        <w:br/>
        <w:t>↓</w:t>
        <w:br/>
        <w:t>Knowledge</w:t>
        <w:br/>
        <w:t>↓</w:t>
        <w:br/>
        <w:t>Decision</w:t>
        <w:br/>
        <w:t>↓</w:t>
        <w:br/>
        <w:t>Governance</w:t>
      </w:r>
    </w:p>
    <w:p>
      <w:r>
        <w:rPr>
          <w:rFonts w:ascii="Georgia" w:hAnsi="Georgia"/>
          <w:b w:val="0"/>
          <w:sz w:val="22"/>
        </w:rPr>
        <w:t>The orchestration architecture defines the coordination boundary only.</w:t>
      </w:r>
    </w:p>
    <w:p>
      <w:r>
        <w:rPr>
          <w:rFonts w:ascii="Georgia" w:hAnsi="Georgia"/>
          <w:b w:val="0"/>
          <w:sz w:val="22"/>
        </w:rPr>
        <w:t>It does not redefine individual capability behavior.</w:t>
      </w:r>
    </w:p>
    <w:p>
      <w:pPr>
        <w:pStyle w:val="Heading1"/>
      </w:pPr>
      <w:r>
        <w:t>8. Execution Ordering</w:t>
      </w:r>
    </w:p>
    <w:p>
      <w:r>
        <w:rPr>
          <w:rFonts w:ascii="Georgia" w:hAnsi="Georgia"/>
          <w:b w:val="0"/>
          <w:sz w:val="22"/>
        </w:rPr>
        <w:t>Execution ordering is determined exclusively by the Cognitive Engine.</w:t>
      </w:r>
    </w:p>
    <w:p>
      <w:r>
        <w:rPr>
          <w:rFonts w:ascii="Georgia" w:hAnsi="Georgia"/>
          <w:b w:val="0"/>
          <w:sz w:val="22"/>
        </w:rPr>
        <w:t>Runtime consumers SHALL NOT request: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individual capability execution;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capability skipping;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alternate execution order.</w:t>
      </w:r>
    </w:p>
    <w:p>
      <w:r>
        <w:rPr>
          <w:rFonts w:ascii="Georgia" w:hAnsi="Georgia"/>
          <w:b w:val="0"/>
          <w:sz w:val="22"/>
        </w:rPr>
        <w:t>Execution ordering remains an internal architectural concern.</w:t>
      </w:r>
    </w:p>
    <w:p>
      <w:pPr>
        <w:pStyle w:val="Heading1"/>
      </w:pPr>
      <w:r>
        <w:t>9. Dependency Coordination</w:t>
      </w:r>
    </w:p>
    <w:p>
      <w:r>
        <w:rPr>
          <w:rFonts w:ascii="Georgia" w:hAnsi="Georgia"/>
          <w:b w:val="0"/>
          <w:sz w:val="22"/>
        </w:rPr>
        <w:t>The Cognitive Engine determines runtime execution dependencies.</w:t>
      </w:r>
    </w:p>
    <w:p>
      <w:r>
        <w:rPr>
          <w:rFonts w:ascii="Georgia" w:hAnsi="Georgia"/>
          <w:b w:val="0"/>
          <w:sz w:val="22"/>
        </w:rPr>
        <w:t>Capability dependencies remain internal.</w:t>
      </w:r>
    </w:p>
    <w:p>
      <w:r>
        <w:rPr>
          <w:rFonts w:ascii="Georgia" w:hAnsi="Georgia"/>
          <w:b w:val="0"/>
          <w:sz w:val="22"/>
        </w:rPr>
        <w:t>Products SHALL NOT depend upon internal capability relationships.</w:t>
      </w:r>
    </w:p>
    <w:p>
      <w:pPr>
        <w:pStyle w:val="Heading1"/>
      </w:pPr>
      <w:r>
        <w:t>10. Completion Authority</w:t>
      </w:r>
    </w:p>
    <w:p>
      <w:pPr/>
      <w:r>
        <w:t>The Cognitive Engine exclusively determines execution completion and execution failure.</w:t>
      </w:r>
    </w:p>
    <w:p>
      <w:pPr/>
      <w:r>
        <w:t>Partial completion is an internal orchestration condition, not an externally visible execution state. If required capability coordination does not complete successfully, the external execution outcome is Failed under ESM-001.</w:t>
      </w:r>
    </w:p>
    <w:p>
      <w:pPr/>
      <w:r>
        <w:t>Completion SHALL NOT be determined externally.</w:t>
      </w:r>
    </w:p>
    <w:p>
      <w:pPr>
        <w:pStyle w:val="Heading1"/>
      </w:pPr>
      <w:r>
        <w:t>11. Failure Propagation</w:t>
      </w:r>
    </w:p>
    <w:p>
      <w:r>
        <w:rPr>
          <w:rFonts w:ascii="Georgia" w:hAnsi="Georgia"/>
          <w:b w:val="0"/>
          <w:sz w:val="22"/>
        </w:rPr>
        <w:t>The Cognitive Engine determines how execution failures affect remaining execution.</w:t>
      </w:r>
    </w:p>
    <w:p>
      <w:r>
        <w:rPr>
          <w:rFonts w:ascii="Georgia" w:hAnsi="Georgia"/>
          <w:b w:val="0"/>
          <w:sz w:val="22"/>
        </w:rPr>
        <w:t>Failure propagation remains an internal runtime concern.</w:t>
      </w:r>
    </w:p>
    <w:p>
      <w:r>
        <w:rPr>
          <w:rFonts w:ascii="Georgia" w:hAnsi="Georgia"/>
          <w:b w:val="0"/>
          <w:sz w:val="22"/>
        </w:rPr>
        <w:t>No external component may alter failure propagation.</w:t>
      </w:r>
    </w:p>
    <w:p>
      <w:pPr>
        <w:pStyle w:val="Heading1"/>
      </w:pPr>
      <w:r>
        <w:t>12. Runtime References</w:t>
      </w:r>
    </w:p>
    <w:p>
      <w:r>
        <w:rPr>
          <w:rFonts w:ascii="Georgia" w:hAnsi="Georgia"/>
          <w:b w:val="0"/>
          <w:sz w:val="22"/>
        </w:rPr>
        <w:t>The Orchestrator coordinates production of runtime references, including: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Reference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Projection Reference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Explanation Reference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History Reference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Governance Reference</w:t>
      </w:r>
    </w:p>
    <w:p>
      <w:r>
        <w:rPr>
          <w:rFonts w:ascii="Georgia" w:hAnsi="Georgia"/>
          <w:b w:val="0"/>
          <w:sz w:val="22"/>
        </w:rPr>
        <w:t>Reference production SHALL NOT expose internal capability execution.</w:t>
      </w:r>
    </w:p>
    <w:p>
      <w:pPr>
        <w:pStyle w:val="Heading1"/>
      </w:pPr>
      <w:r>
        <w:t>13. Runtime Isolation</w:t>
      </w:r>
    </w:p>
    <w:p>
      <w:r>
        <w:rPr>
          <w:rFonts w:ascii="Georgia" w:hAnsi="Georgia"/>
          <w:b w:val="0"/>
          <w:sz w:val="22"/>
        </w:rPr>
        <w:t>The orchestration architecture SHALL isolate runtime consumers from: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internal capability sequencing;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dependency management;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orchestration strategy;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coordination.</w:t>
      </w:r>
    </w:p>
    <w:p>
      <w:r>
        <w:rPr>
          <w:rFonts w:ascii="Georgia" w:hAnsi="Georgia"/>
          <w:b w:val="0"/>
          <w:sz w:val="22"/>
        </w:rPr>
        <w:t>Only invocation and completion are externally visible.</w:t>
      </w:r>
    </w:p>
    <w:p>
      <w:pPr>
        <w:pStyle w:val="Heading1"/>
      </w:pPr>
      <w:r>
        <w:t>14. Retry Authority</w:t>
      </w:r>
    </w:p>
    <w:p>
      <w:pPr/>
      <w:r>
        <w:t>EOM owns internal capability retry during one execution.</w:t>
      </w:r>
    </w:p>
    <w:p>
      <w:pPr/>
      <w:r>
        <w:t>Internal retry is invisible to runtime consumers, does not create a new Execution Identifier, and does not alter the externally visible ESM state model.</w:t>
      </w:r>
    </w:p>
    <w:p>
      <w:pPr/>
      <w:r>
        <w:t>External retry after a terminal execution creates a new execution under ESM-001. PAD idempotent replay is a separate protocol concern and performs no new work.</w:t>
      </w:r>
    </w:p>
    <w:p>
      <w:pPr/>
      <w:r>
        <w:t>External components SHALL NOT request retry of an individual capability.</w:t>
      </w:r>
    </w:p>
    <w:p>
      <w:pPr>
        <w:pStyle w:val="Heading1"/>
      </w:pPr>
      <w:r>
        <w:t>15. Compensation Authority</w:t>
      </w:r>
    </w:p>
    <w:p>
      <w:r>
        <w:rPr>
          <w:rFonts w:ascii="Georgia" w:hAnsi="Georgia"/>
          <w:b w:val="0"/>
          <w:sz w:val="22"/>
        </w:rPr>
        <w:t>Compensation behavior, if required, is determined exclusively by the Cognitive Engine.</w:t>
      </w:r>
    </w:p>
    <w:p>
      <w:r>
        <w:rPr>
          <w:rFonts w:ascii="Georgia" w:hAnsi="Georgia"/>
          <w:b w:val="0"/>
          <w:sz w:val="22"/>
        </w:rPr>
        <w:t>Products SHALL NOT initiate compensation.</w:t>
      </w:r>
    </w:p>
    <w:p>
      <w:pPr>
        <w:pStyle w:val="Heading1"/>
      </w:pPr>
      <w:r>
        <w:t>16. Transaction Boundary</w:t>
      </w:r>
    </w:p>
    <w:p>
      <w:r>
        <w:rPr>
          <w:rFonts w:ascii="Georgia" w:hAnsi="Georgia"/>
          <w:b w:val="0"/>
          <w:sz w:val="22"/>
        </w:rPr>
        <w:t>The orchestration architecture defines one logical execution boundary.</w:t>
      </w:r>
    </w:p>
    <w:p>
      <w:r>
        <w:rPr>
          <w:rFonts w:ascii="Georgia" w:hAnsi="Georgia"/>
          <w:b w:val="0"/>
          <w:sz w:val="22"/>
        </w:rPr>
        <w:t>Transaction implementation remains outside the scope of this specification.</w:t>
      </w:r>
    </w:p>
    <w:p>
      <w:pPr>
        <w:pStyle w:val="Heading1"/>
      </w:pPr>
      <w:r>
        <w:t>17. Runtime State Coordination</w:t>
      </w:r>
    </w:p>
    <w:p>
      <w:pPr/>
      <w:r>
        <w:t>EOM coordinates runtime work that causes valid execution-state transitions.</w:t>
      </w:r>
    </w:p>
    <w:p>
      <w:pPr/>
      <w:r>
        <w:t>ESM-001 exclusively defines state names, state meanings, valid transitions, terminality, retry-as-new-execution, and execution-state visibility. EOM references those semantics and does not redefine them.</w:t>
      </w:r>
    </w:p>
    <w:p>
      <w:pPr>
        <w:pStyle w:val="Heading1"/>
      </w:pPr>
      <w:r>
        <w:t>18. Security Boundary</w:t>
      </w:r>
    </w:p>
    <w:p>
      <w:r>
        <w:rPr>
          <w:rFonts w:ascii="Georgia" w:hAnsi="Georgia"/>
          <w:b w:val="0"/>
          <w:sz w:val="22"/>
        </w:rPr>
        <w:t>The Orchestrator assumes authenticated runtime requests.</w:t>
      </w:r>
    </w:p>
    <w:p>
      <w:r>
        <w:rPr>
          <w:rFonts w:ascii="Georgia" w:hAnsi="Georgia"/>
          <w:b w:val="0"/>
          <w:sz w:val="22"/>
        </w:rPr>
        <w:t>Authentication and authorization remain outside the Cognitive Engine.</w:t>
      </w:r>
    </w:p>
    <w:p>
      <w:pPr>
        <w:pStyle w:val="Heading1"/>
      </w:pPr>
      <w:r>
        <w:t>19. Non-Goals</w:t>
      </w:r>
    </w:p>
    <w:p>
      <w:r>
        <w:rPr>
          <w:rFonts w:ascii="Georgia" w:hAnsi="Georgia"/>
          <w:b w:val="0"/>
          <w:sz w:val="22"/>
        </w:rPr>
        <w:t>This specification does not define: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workflow engines;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BPMN;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REST APIs;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queues;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messaging;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persistence;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repository access;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DTOs;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implementation technology.</w:t>
      </w:r>
    </w:p>
    <w:p>
      <w:pPr>
        <w:pStyle w:val="Heading1"/>
      </w:pPr>
      <w:r>
        <w:t>20. Traceability</w:t>
      </w:r>
    </w:p>
    <w:p>
      <w:pPr/>
      <w:r>
        <w:t>EOM-001 v1.1 traces to:</w:t>
      </w:r>
    </w:p>
    <w:p>
      <w:pPr>
        <w:pStyle w:val="ListBullet"/>
      </w:pPr>
      <w:r>
        <w:t>EAH-001</w:t>
      </w:r>
    </w:p>
    <w:p>
      <w:pPr>
        <w:pStyle w:val="ListBullet"/>
      </w:pPr>
      <w:r>
        <w:t>RFC-010</w:t>
      </w:r>
    </w:p>
    <w:p>
      <w:pPr>
        <w:pStyle w:val="ListBullet"/>
      </w:pPr>
      <w:r>
        <w:t>RFC-011</w:t>
      </w:r>
    </w:p>
    <w:p>
      <w:pPr>
        <w:pStyle w:val="ListBullet"/>
      </w:pPr>
      <w:r>
        <w:t>CDS-001</w:t>
      </w:r>
    </w:p>
    <w:p>
      <w:pPr>
        <w:pStyle w:val="ListBullet"/>
      </w:pPr>
      <w:r>
        <w:t>EIC-001 v1.1</w:t>
      </w:r>
    </w:p>
    <w:p>
      <w:pPr>
        <w:pStyle w:val="ListBullet"/>
      </w:pPr>
      <w:r>
        <w:t>ESM-001 v1.1</w:t>
      </w:r>
    </w:p>
    <w:p>
      <w:pPr>
        <w:pStyle w:val="Heading1"/>
      </w:pPr>
      <w:r>
        <w:t>21. Architecture Philosophy</w:t>
      </w:r>
    </w:p>
    <w:p>
      <w:r>
        <w:rPr>
          <w:rFonts w:ascii="Georgia" w:hAnsi="Georgia"/>
          <w:b w:val="0"/>
          <w:sz w:val="22"/>
        </w:rPr>
        <w:t>The Cognitive Engine establishes enterprise understanding through coordinated execution of independent cognitive capabilities.</w:t>
      </w:r>
    </w:p>
    <w:p>
      <w:r>
        <w:rPr>
          <w:rFonts w:ascii="Georgia" w:hAnsi="Georgia"/>
          <w:b w:val="0"/>
          <w:sz w:val="22"/>
        </w:rPr>
        <w:t>Orchestration exists to coordinate capability execution while preserving the independence, authority, and encapsulation of each capability.</w:t>
      </w:r>
    </w:p>
    <w:p>
      <w:r>
        <w:rPr>
          <w:rFonts w:ascii="Georgia" w:hAnsi="Georgia"/>
          <w:b w:val="0"/>
          <w:sz w:val="22"/>
        </w:rPr>
        <w:t>Products request enterprise cognition.</w:t>
      </w:r>
    </w:p>
    <w:p>
      <w:r>
        <w:rPr>
          <w:rFonts w:ascii="Georgia" w:hAnsi="Georgia"/>
          <w:b w:val="0"/>
          <w:sz w:val="22"/>
        </w:rPr>
        <w:t>The Invocation Architecture admits execution.</w:t>
      </w:r>
    </w:p>
    <w:p>
      <w:r>
        <w:rPr>
          <w:rFonts w:ascii="Georgia" w:hAnsi="Georgia"/>
          <w:b w:val="0"/>
          <w:sz w:val="22"/>
        </w:rPr>
        <w:t>The Orchestration Architecture coordinates execution.</w:t>
      </w:r>
    </w:p>
    <w:p>
      <w:r>
        <w:rPr>
          <w:rFonts w:ascii="Georgia" w:hAnsi="Georgia"/>
          <w:b w:val="0"/>
          <w:sz w:val="22"/>
        </w:rPr>
        <w:t>Individual capabilities establish enterprise understanding.</w:t>
      </w:r>
    </w:p>
    <w:p>
      <w:r>
        <w:rPr>
          <w:rFonts w:ascii="Georgia" w:hAnsi="Georgia"/>
          <w:b w:val="0"/>
          <w:sz w:val="22"/>
        </w:rPr>
        <w:t>No external component participates in internal orchestration.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4472C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EOM-001 — Cognitive Engine Orchestration Architecture</dc:title>
  <dc:subject>Runtime Architecture Specification</dc:subject>
  <dc:creator>CTEC Architecture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