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after="80"/>
      </w:pPr>
      <w:r>
        <w:rPr>
          <w:rFonts w:ascii="Calibri" w:hAnsi="Calibri"/>
          <w:b/>
          <w:color w:val="2E74B5"/>
          <w:sz w:val="32"/>
        </w:rPr>
        <w:t>RFC-013</w:t>
      </w:r>
    </w:p>
    <w:p>
      <w:pPr>
        <w:spacing w:after="160"/>
      </w:pPr>
      <w:r>
        <w:rPr>
          <w:rFonts w:ascii="Calibri" w:hAnsi="Calibri"/>
          <w:b/>
          <w:color w:val="243447"/>
          <w:sz w:val="52"/>
        </w:rPr>
        <w:t>Governance Authority and Evaluation Separation</w:t>
      </w:r>
    </w:p>
    <w:p>
      <w:pPr>
        <w:spacing w:after="480"/>
      </w:pPr>
      <w:r>
        <w:rPr>
          <w:color w:val="505A64"/>
          <w:sz w:val="26"/>
        </w:rPr>
        <w:t>Elimination of the Acceptance Evidence circular dependency</w:t>
      </w:r>
    </w:p>
    <w:tbl>
      <w:tblPr>
        <w:tblStyle w:val="TableGrid"/>
        <w:tblW w:type="auto" w:w="0"/>
        <w:tblLayout w:type="fixed"/>
        <w:tblLook w:firstColumn="1" w:firstRow="1" w:lastColumn="0" w:lastRow="0" w:noHBand="0" w:noVBand="1" w:val="04A0"/>
      </w:tblPr>
      <w:tblGrid>
        <w:gridCol w:w="2376"/>
        <w:gridCol w:w="6984"/>
      </w:tblGrid>
      <w:tr>
        <w:trPr>
          <w:tblHeader w:val="true"/>
        </w:trPr>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Field</w:t>
            </w:r>
          </w:p>
        </w:tc>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Value</w:t>
            </w:r>
          </w:p>
        </w:tc>
      </w:tr>
      <w:tr>
        <w:tc>
          <w:tcPr>
            <w:tcW w:type="dxa" w:w="2376"/>
            <w:vAlign w:val="center"/>
            <w:tcMar>
              <w:top w:w="90" w:type="dxa"/>
              <w:start w:w="120" w:type="dxa"/>
              <w:bottom w:w="90" w:type="dxa"/>
              <w:end w:w="120" w:type="dxa"/>
            </w:tcMar>
          </w:tcPr>
          <w:p>
            <w:pPr>
              <w:spacing w:after="0"/>
            </w:pPr>
            <w:r/>
            <w:r>
              <w:rPr>
                <w:rFonts w:ascii="Calibri" w:hAnsi="Calibri"/>
                <w:b w:val="0"/>
                <w:sz w:val="19"/>
              </w:rPr>
              <w:t>Document ID</w:t>
            </w:r>
          </w:p>
        </w:tc>
        <w:tc>
          <w:tcPr>
            <w:tcW w:type="dxa" w:w="6984"/>
            <w:vAlign w:val="center"/>
            <w:tcMar>
              <w:top w:w="90" w:type="dxa"/>
              <w:start w:w="120" w:type="dxa"/>
              <w:bottom w:w="90" w:type="dxa"/>
              <w:end w:w="120" w:type="dxa"/>
            </w:tcMar>
          </w:tcPr>
          <w:p>
            <w:pPr>
              <w:spacing w:after="0"/>
            </w:pPr>
            <w:r/>
            <w:r>
              <w:rPr>
                <w:rFonts w:ascii="Calibri" w:hAnsi="Calibri"/>
                <w:b w:val="0"/>
                <w:sz w:val="19"/>
              </w:rPr>
              <w:t>RFC-013</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9"/>
              </w:rPr>
              <w:t>Version</w:t>
            </w:r>
          </w:p>
        </w:tc>
        <w:tc>
          <w:tcPr>
            <w:tcW w:type="dxa" w:w="6984"/>
            <w:vAlign w:val="center"/>
            <w:tcMar>
              <w:top w:w="90" w:type="dxa"/>
              <w:start w:w="120" w:type="dxa"/>
              <w:bottom w:w="90" w:type="dxa"/>
              <w:end w:w="120" w:type="dxa"/>
            </w:tcMar>
            <w:shd w:fill="F8FAFC"/>
          </w:tcPr>
          <w:p>
            <w:pPr>
              <w:spacing w:after="0"/>
            </w:pPr>
            <w:r/>
            <w:r>
              <w:rPr>
                <w:rFonts w:ascii="Calibri" w:hAnsi="Calibri"/>
                <w:b w:val="0"/>
                <w:sz w:val="19"/>
              </w:rPr>
              <w:t>1.0</w:t>
            </w:r>
          </w:p>
        </w:tc>
      </w:tr>
      <w:tr>
        <w:tc>
          <w:tcPr>
            <w:tcW w:type="dxa" w:w="2376"/>
            <w:vAlign w:val="center"/>
            <w:tcMar>
              <w:top w:w="90" w:type="dxa"/>
              <w:start w:w="120" w:type="dxa"/>
              <w:bottom w:w="90" w:type="dxa"/>
              <w:end w:w="120" w:type="dxa"/>
            </w:tcMar>
          </w:tcPr>
          <w:p>
            <w:pPr>
              <w:spacing w:after="0"/>
            </w:pPr>
            <w:r/>
            <w:r>
              <w:rPr>
                <w:rFonts w:ascii="Calibri" w:hAnsi="Calibri"/>
                <w:b w:val="0"/>
                <w:sz w:val="19"/>
              </w:rPr>
              <w:t>Status</w:t>
            </w:r>
          </w:p>
        </w:tc>
        <w:tc>
          <w:tcPr>
            <w:tcW w:type="dxa" w:w="6984"/>
            <w:vAlign w:val="center"/>
            <w:tcMar>
              <w:top w:w="90" w:type="dxa"/>
              <w:start w:w="120" w:type="dxa"/>
              <w:bottom w:w="90" w:type="dxa"/>
              <w:end w:w="120" w:type="dxa"/>
            </w:tcMar>
          </w:tcPr>
          <w:p>
            <w:pPr>
              <w:spacing w:after="0"/>
            </w:pPr>
            <w:r/>
            <w:r>
              <w:rPr>
                <w:rFonts w:ascii="Calibri" w:hAnsi="Calibri"/>
                <w:b w:val="0"/>
                <w:sz w:val="19"/>
              </w:rPr>
              <w:t>FROZEN</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9"/>
              </w:rPr>
              <w:t>Document Type</w:t>
            </w:r>
          </w:p>
        </w:tc>
        <w:tc>
          <w:tcPr>
            <w:tcW w:type="dxa" w:w="6984"/>
            <w:vAlign w:val="center"/>
            <w:tcMar>
              <w:top w:w="90" w:type="dxa"/>
              <w:start w:w="120" w:type="dxa"/>
              <w:bottom w:w="90" w:type="dxa"/>
              <w:end w:w="120" w:type="dxa"/>
            </w:tcMar>
            <w:shd w:fill="F8FAFC"/>
          </w:tcPr>
          <w:p>
            <w:pPr>
              <w:spacing w:after="0"/>
            </w:pPr>
            <w:r/>
            <w:r>
              <w:rPr>
                <w:rFonts w:ascii="Calibri" w:hAnsi="Calibri"/>
                <w:b w:val="0"/>
                <w:sz w:val="19"/>
              </w:rPr>
              <w:t>Architecture Decision / Boundary Clarification</w:t>
            </w:r>
          </w:p>
        </w:tc>
      </w:tr>
      <w:tr>
        <w:tc>
          <w:tcPr>
            <w:tcW w:type="dxa" w:w="2376"/>
            <w:vAlign w:val="center"/>
            <w:tcMar>
              <w:top w:w="90" w:type="dxa"/>
              <w:start w:w="120" w:type="dxa"/>
              <w:bottom w:w="90" w:type="dxa"/>
              <w:end w:w="120" w:type="dxa"/>
            </w:tcMar>
          </w:tcPr>
          <w:p>
            <w:pPr>
              <w:spacing w:after="0"/>
            </w:pPr>
            <w:r/>
            <w:r>
              <w:rPr>
                <w:rFonts w:ascii="Calibri" w:hAnsi="Calibri"/>
                <w:b w:val="0"/>
                <w:sz w:val="19"/>
              </w:rPr>
              <w:t>Authority</w:t>
            </w:r>
          </w:p>
        </w:tc>
        <w:tc>
          <w:tcPr>
            <w:tcW w:type="dxa" w:w="6984"/>
            <w:vAlign w:val="center"/>
            <w:tcMar>
              <w:top w:w="90" w:type="dxa"/>
              <w:start w:w="120" w:type="dxa"/>
              <w:bottom w:w="90" w:type="dxa"/>
              <w:end w:w="120" w:type="dxa"/>
            </w:tcMar>
          </w:tcPr>
          <w:p>
            <w:pPr>
              <w:spacing w:after="0"/>
            </w:pPr>
            <w:r/>
            <w:r>
              <w:rPr>
                <w:rFonts w:ascii="Calibri" w:hAnsi="Calibri"/>
                <w:b w:val="0"/>
                <w:sz w:val="19"/>
              </w:rPr>
              <w:t>ECOM Architecture</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9"/>
              </w:rPr>
              <w:t>Clarifies</w:t>
            </w:r>
          </w:p>
        </w:tc>
        <w:tc>
          <w:tcPr>
            <w:tcW w:type="dxa" w:w="6984"/>
            <w:vAlign w:val="center"/>
            <w:tcMar>
              <w:top w:w="90" w:type="dxa"/>
              <w:start w:w="120" w:type="dxa"/>
              <w:bottom w:w="90" w:type="dxa"/>
              <w:end w:w="120" w:type="dxa"/>
            </w:tcMar>
            <w:shd w:fill="F8FAFC"/>
          </w:tcPr>
          <w:p>
            <w:pPr>
              <w:spacing w:after="0"/>
            </w:pPr>
            <w:r/>
            <w:r>
              <w:rPr>
                <w:rFonts w:ascii="Calibri" w:hAnsi="Calibri"/>
                <w:b w:val="0"/>
                <w:sz w:val="19"/>
              </w:rPr>
              <w:t>EAH-001; AEM-001 v1.0; KRM-001 v1.2; DRM-001 v1.1; GEM-001 v1.0; GRM-001 v1.1</w:t>
            </w:r>
          </w:p>
        </w:tc>
      </w:tr>
      <w:tr>
        <w:tc>
          <w:tcPr>
            <w:tcW w:type="dxa" w:w="2376"/>
            <w:vAlign w:val="center"/>
            <w:tcMar>
              <w:top w:w="90" w:type="dxa"/>
              <w:start w:w="120" w:type="dxa"/>
              <w:bottom w:w="90" w:type="dxa"/>
              <w:end w:w="120" w:type="dxa"/>
            </w:tcMar>
          </w:tcPr>
          <w:p>
            <w:pPr>
              <w:spacing w:after="0"/>
            </w:pPr>
            <w:r/>
            <w:r>
              <w:rPr>
                <w:rFonts w:ascii="Calibri" w:hAnsi="Calibri"/>
                <w:b w:val="0"/>
                <w:sz w:val="19"/>
              </w:rPr>
              <w:t>Scope</w:t>
            </w:r>
          </w:p>
        </w:tc>
        <w:tc>
          <w:tcPr>
            <w:tcW w:type="dxa" w:w="6984"/>
            <w:vAlign w:val="center"/>
            <w:tcMar>
              <w:top w:w="90" w:type="dxa"/>
              <w:start w:w="120" w:type="dxa"/>
              <w:bottom w:w="90" w:type="dxa"/>
              <w:end w:w="120" w:type="dxa"/>
            </w:tcMar>
          </w:tcPr>
          <w:p>
            <w:pPr>
              <w:spacing w:after="0"/>
            </w:pPr>
            <w:r/>
            <w:r>
              <w:rPr>
                <w:rFonts w:ascii="Calibri" w:hAnsi="Calibri"/>
                <w:b w:val="0"/>
                <w:sz w:val="19"/>
              </w:rPr>
              <w:t>Governance approval authority versus Governance Evaluation</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9"/>
              </w:rPr>
              <w:t>Out of Scope</w:t>
            </w:r>
          </w:p>
        </w:tc>
        <w:tc>
          <w:tcPr>
            <w:tcW w:type="dxa" w:w="6984"/>
            <w:vAlign w:val="center"/>
            <w:tcMar>
              <w:top w:w="90" w:type="dxa"/>
              <w:start w:w="120" w:type="dxa"/>
              <w:bottom w:w="90" w:type="dxa"/>
              <w:end w:w="120" w:type="dxa"/>
            </w:tcMar>
            <w:shd w:fill="F8FAFC"/>
          </w:tcPr>
          <w:p>
            <w:pPr>
              <w:spacing w:after="0"/>
            </w:pPr>
            <w:r/>
            <w:r>
              <w:rPr>
                <w:rFonts w:ascii="Calibri" w:hAnsi="Calibri"/>
                <w:b w:val="0"/>
                <w:sz w:val="19"/>
              </w:rPr>
              <w:t>CEO changes, new business artifacts, implementation, technology, organization design</w:t>
            </w:r>
          </w:p>
        </w:tc>
      </w:tr>
    </w:tbl>
    <w:p>
      <w:pPr>
        <w:spacing w:after="20"/>
      </w:pPr>
    </w:p>
    <w:p>
      <w:pPr>
        <w:pStyle w:val="Heading1"/>
      </w:pPr>
      <w:r>
        <w:t>1. Purpose</w:t>
      </w:r>
    </w:p>
    <w:p>
      <w:r>
        <w:t>RFC-013 removes the circular dependency created when the word Governance is used both for the authority that grants institutional approval and for the downstream Governance Evaluation capability defined by GRM-001.</w:t>
      </w:r>
    </w:p>
    <w:p>
      <w:r>
        <w:t>This RFC separates those responsibilities without creating a new Canonical Enterprise Ontology entity, changing Acceptance Evidence, modifying cognitive outcomes, or prescribing implementation.</w:t>
      </w:r>
    </w:p>
    <w:p>
      <w:pPr>
        <w:pStyle w:val="Heading1"/>
      </w:pPr>
      <w:r>
        <w:t>2. Problem Statement</w:t>
      </w:r>
    </w:p>
    <w:p>
      <w:pPr>
        <w:keepLines/>
        <w:spacing w:before="120" w:after="200"/>
        <w:jc w:val="center"/>
      </w:pPr>
      <w:r>
        <w:rPr>
          <w:rFonts w:ascii="Courier New" w:hAnsi="Courier New"/>
          <w:color w:val="1F4D78"/>
          <w:sz w:val="20"/>
        </w:rPr>
        <w:t>Ambiguous Flow</w:t>
        <w:br/>
        <w:t>Governance → Acceptance Evidence → Knowledge → Decision → Governance</w:t>
      </w:r>
    </w:p>
    <w:p>
      <w:r>
        <w:t>AEM-001 states that Governance produces Acceptance Evidence, KRM-001 consumes that evidence to establish Institutional Knowledge, DRM-001 consumes Institutional Knowledge to establish Enterprise Decisions, and GRM-001 evaluates Knowledge and Decision records. If both uses of Governance refer to GRM-001, the architecture is circular.</w:t>
      </w:r>
    </w:p>
    <w:p>
      <w:pPr>
        <w:pStyle w:val="Heading1"/>
      </w:pPr>
      <w:r>
        <w:t>3. Decision</w:t>
      </w:r>
    </w:p>
    <w:p>
      <w:r>
        <w:rPr>
          <w:b/>
        </w:rPr>
        <w:t>Governance Authority and Governance Evaluation are distinct architectural responsibilities.</w:t>
      </w:r>
    </w:p>
    <w:p>
      <w:r>
        <w:t>Governance Authority may grant or withhold institutional approval and may produce the governed evidence contracts authorized by AEM-001 and GEM-001. Governance Evaluation is the cognitive assurance capability defined by GRM-001. It evaluates immutable cognitive records against policies and establishes Governance Attestations. It does not grant the approval needed by Knowledge and does not produce Acceptance Evidence.</w:t>
      </w:r>
    </w:p>
    <w:p>
      <w:r>
        <w:t>The term Governance Authority names an architectural role and responsibility boundary only. It is not a new CEO entity, business record, service, actor type, persistence model, or implementation component.</w:t>
      </w:r>
    </w:p>
    <w:p>
      <w:pPr>
        <w:pStyle w:val="Heading1"/>
      </w:pPr>
      <w:r>
        <w:t>4. Authoritative Definitions</w:t>
      </w:r>
    </w:p>
    <w:tbl>
      <w:tblPr>
        <w:tblStyle w:val="TableGrid"/>
        <w:tblW w:type="auto" w:w="0"/>
        <w:tblLayout w:type="fixed"/>
        <w:tblLook w:firstColumn="1" w:firstRow="1" w:lastColumn="0" w:lastRow="0" w:noHBand="0" w:noVBand="1" w:val="04A0"/>
      </w:tblPr>
      <w:tblGrid>
        <w:gridCol w:w="2376"/>
        <w:gridCol w:w="6984"/>
      </w:tblGrid>
      <w:tr>
        <w:trPr>
          <w:tblHeader w:val="true"/>
        </w:trPr>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Term</w:t>
            </w:r>
          </w:p>
        </w:tc>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Definition</w:t>
            </w:r>
          </w:p>
        </w:tc>
      </w:tr>
      <w:tr>
        <w:tc>
          <w:tcPr>
            <w:tcW w:type="dxa" w:w="2376"/>
            <w:vAlign w:val="center"/>
            <w:tcMar>
              <w:top w:w="90" w:type="dxa"/>
              <w:start w:w="120" w:type="dxa"/>
              <w:bottom w:w="90" w:type="dxa"/>
              <w:end w:w="120" w:type="dxa"/>
            </w:tcMar>
          </w:tcPr>
          <w:p>
            <w:pPr>
              <w:spacing w:after="0"/>
            </w:pPr>
            <w:r/>
            <w:r>
              <w:rPr>
                <w:rFonts w:ascii="Calibri" w:hAnsi="Calibri"/>
                <w:b w:val="0"/>
                <w:sz w:val="19"/>
              </w:rPr>
              <w:t>Governance Authority</w:t>
            </w:r>
          </w:p>
        </w:tc>
        <w:tc>
          <w:tcPr>
            <w:tcW w:type="dxa" w:w="6984"/>
            <w:vAlign w:val="center"/>
            <w:tcMar>
              <w:top w:w="90" w:type="dxa"/>
              <w:start w:w="120" w:type="dxa"/>
              <w:bottom w:w="90" w:type="dxa"/>
              <w:end w:w="120" w:type="dxa"/>
            </w:tcMar>
          </w:tcPr>
          <w:p>
            <w:pPr>
              <w:spacing w:after="0"/>
            </w:pPr>
            <w:r/>
            <w:r>
              <w:rPr>
                <w:rFonts w:ascii="Calibri" w:hAnsi="Calibri"/>
                <w:b w:val="0"/>
                <w:sz w:val="19"/>
              </w:rPr>
              <w:t>A policy-authorized institutional role or authority boundary empowered to grant approval or an exception and to produce the corresponding governed evidence contract. CAM-001 projection and GRM-001 evaluation do not create this authority.</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9"/>
              </w:rPr>
              <w:t>Acceptance Evidence</w:t>
            </w:r>
          </w:p>
        </w:tc>
        <w:tc>
          <w:tcPr>
            <w:tcW w:type="dxa" w:w="6984"/>
            <w:vAlign w:val="center"/>
            <w:tcMar>
              <w:top w:w="90" w:type="dxa"/>
              <w:start w:w="120" w:type="dxa"/>
              <w:bottom w:w="90" w:type="dxa"/>
              <w:end w:w="120" w:type="dxa"/>
            </w:tcMar>
            <w:shd w:fill="F8FAFC"/>
          </w:tcPr>
          <w:p>
            <w:pPr>
              <w:spacing w:after="0"/>
            </w:pPr>
            <w:r/>
            <w:r>
              <w:rPr>
                <w:rFonts w:ascii="Calibri" w:hAnsi="Calibri"/>
                <w:b w:val="0"/>
                <w:sz w:val="19"/>
              </w:rPr>
              <w:t>The immutable business artifact defined by AEM-001 that documents institutional acceptance of exactly one Assertion. It is produced under Governance Authority and consumed by Knowledge.</w:t>
            </w:r>
          </w:p>
        </w:tc>
      </w:tr>
      <w:tr>
        <w:tc>
          <w:tcPr>
            <w:tcW w:type="dxa" w:w="2376"/>
            <w:vAlign w:val="center"/>
            <w:tcMar>
              <w:top w:w="90" w:type="dxa"/>
              <w:start w:w="120" w:type="dxa"/>
              <w:bottom w:w="90" w:type="dxa"/>
              <w:end w:w="120" w:type="dxa"/>
            </w:tcMar>
          </w:tcPr>
          <w:p>
            <w:pPr>
              <w:spacing w:after="0"/>
            </w:pPr>
            <w:r/>
            <w:r>
              <w:rPr>
                <w:rFonts w:ascii="Calibri" w:hAnsi="Calibri"/>
                <w:b w:val="0"/>
                <w:sz w:val="19"/>
              </w:rPr>
              <w:t>Exception Authorization</w:t>
            </w:r>
          </w:p>
        </w:tc>
        <w:tc>
          <w:tcPr>
            <w:tcW w:type="dxa" w:w="6984"/>
            <w:vAlign w:val="center"/>
            <w:tcMar>
              <w:top w:w="90" w:type="dxa"/>
              <w:start w:w="120" w:type="dxa"/>
              <w:bottom w:w="90" w:type="dxa"/>
              <w:end w:w="120" w:type="dxa"/>
            </w:tcMar>
          </w:tcPr>
          <w:p>
            <w:pPr>
              <w:spacing w:after="0"/>
            </w:pPr>
            <w:r/>
            <w:r>
              <w:rPr>
                <w:rFonts w:ascii="Calibri" w:hAnsi="Calibri"/>
                <w:b w:val="0"/>
                <w:sz w:val="19"/>
              </w:rPr>
              <w:t>The immutable business artifact defined by GEM-001 that documents an authorized policy deviation. It is produced under Governance Authority and consumed by Governance Evaluation for Exception Granted.</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9"/>
              </w:rPr>
              <w:t>Governance Evaluation</w:t>
            </w:r>
          </w:p>
        </w:tc>
        <w:tc>
          <w:tcPr>
            <w:tcW w:type="dxa" w:w="6984"/>
            <w:vAlign w:val="center"/>
            <w:tcMar>
              <w:top w:w="90" w:type="dxa"/>
              <w:start w:w="120" w:type="dxa"/>
              <w:bottom w:w="90" w:type="dxa"/>
              <w:end w:w="120" w:type="dxa"/>
            </w:tcMar>
            <w:shd w:fill="F8FAFC"/>
          </w:tcPr>
          <w:p>
            <w:pPr>
              <w:spacing w:after="0"/>
            </w:pPr>
            <w:r/>
            <w:r>
              <w:rPr>
                <w:rFonts w:ascii="Calibri" w:hAnsi="Calibri"/>
                <w:b w:val="0"/>
                <w:sz w:val="19"/>
              </w:rPr>
              <w:t>The GRM-001 capability that evaluates an immutable governed record against a governing policy.</w:t>
            </w:r>
          </w:p>
        </w:tc>
      </w:tr>
      <w:tr>
        <w:tc>
          <w:tcPr>
            <w:tcW w:type="dxa" w:w="2376"/>
            <w:vAlign w:val="center"/>
            <w:tcMar>
              <w:top w:w="90" w:type="dxa"/>
              <w:start w:w="120" w:type="dxa"/>
              <w:bottom w:w="90" w:type="dxa"/>
              <w:end w:w="120" w:type="dxa"/>
            </w:tcMar>
          </w:tcPr>
          <w:p>
            <w:pPr>
              <w:spacing w:after="0"/>
            </w:pPr>
            <w:r/>
            <w:r>
              <w:rPr>
                <w:rFonts w:ascii="Calibri" w:hAnsi="Calibri"/>
                <w:b w:val="0"/>
                <w:sz w:val="19"/>
              </w:rPr>
              <w:t>Governance Attestation</w:t>
            </w:r>
          </w:p>
        </w:tc>
        <w:tc>
          <w:tcPr>
            <w:tcW w:type="dxa" w:w="6984"/>
            <w:vAlign w:val="center"/>
            <w:tcMar>
              <w:top w:w="90" w:type="dxa"/>
              <w:start w:w="120" w:type="dxa"/>
              <w:bottom w:w="90" w:type="dxa"/>
              <w:end w:w="120" w:type="dxa"/>
            </w:tcMar>
          </w:tcPr>
          <w:p>
            <w:pPr>
              <w:spacing w:after="0"/>
            </w:pPr>
            <w:r/>
            <w:r>
              <w:rPr>
                <w:rFonts w:ascii="Calibri" w:hAnsi="Calibri"/>
                <w:b w:val="0"/>
                <w:sz w:val="19"/>
              </w:rPr>
              <w:t>The outcome-neutral business outcome established by a Governance Evaluation Record. It is not Acceptance Evidence and cannot substitute for it.</w:t>
            </w:r>
          </w:p>
        </w:tc>
      </w:tr>
      <w:tr>
        <w:tc>
          <w:tcPr>
            <w:tcW w:type="dxa" w:w="2376"/>
            <w:vAlign w:val="center"/>
            <w:tcMar>
              <w:top w:w="90" w:type="dxa"/>
              <w:start w:w="120" w:type="dxa"/>
              <w:bottom w:w="90" w:type="dxa"/>
              <w:end w:w="120" w:type="dxa"/>
            </w:tcMar>
            <w:shd w:fill="F8FAFC"/>
          </w:tcPr>
          <w:p>
            <w:pPr>
              <w:spacing w:after="0"/>
            </w:pPr>
            <w:r/>
            <w:r>
              <w:rPr>
                <w:rFonts w:ascii="Calibri" w:hAnsi="Calibri"/>
                <w:b w:val="0"/>
                <w:sz w:val="19"/>
              </w:rPr>
              <w:t>Enterprise Trust</w:t>
            </w:r>
          </w:p>
        </w:tc>
        <w:tc>
          <w:tcPr>
            <w:tcW w:type="dxa" w:w="6984"/>
            <w:vAlign w:val="center"/>
            <w:tcMar>
              <w:top w:w="90" w:type="dxa"/>
              <w:start w:w="120" w:type="dxa"/>
              <w:bottom w:w="90" w:type="dxa"/>
              <w:end w:w="120" w:type="dxa"/>
            </w:tcMar>
            <w:shd w:fill="F8FAFC"/>
          </w:tcPr>
          <w:p>
            <w:pPr>
              <w:spacing w:after="0"/>
            </w:pPr>
            <w:r/>
            <w:r>
              <w:rPr>
                <w:rFonts w:ascii="Calibri" w:hAnsi="Calibri"/>
                <w:b w:val="0"/>
                <w:sz w:val="19"/>
              </w:rPr>
              <w:t>The emergent property established through the collective body of Governance Attestations. It is not approval evidence and does not institutionalize Knowledge.</w:t>
            </w:r>
          </w:p>
        </w:tc>
      </w:tr>
    </w:tbl>
    <w:p>
      <w:pPr>
        <w:spacing w:after="20"/>
      </w:pPr>
    </w:p>
    <w:p>
      <w:pPr>
        <w:pStyle w:val="Heading1"/>
      </w:pPr>
      <w:r>
        <w:t>5. Responsibility Separation</w:t>
      </w:r>
    </w:p>
    <w:tbl>
      <w:tblPr>
        <w:tblStyle w:val="TableGrid"/>
        <w:tblW w:type="auto" w:w="0"/>
        <w:tblLayout w:type="fixed"/>
        <w:tblLook w:firstColumn="1" w:firstRow="1" w:lastColumn="0" w:lastRow="0" w:noHBand="0" w:noVBand="1" w:val="04A0"/>
      </w:tblPr>
      <w:tblGrid>
        <w:gridCol w:w="3672"/>
        <w:gridCol w:w="2808"/>
        <w:gridCol w:w="2880"/>
      </w:tblGrid>
      <w:tr>
        <w:trPr>
          <w:tblHeader w:val="true"/>
        </w:trPr>
        <w:tc>
          <w:tcPr>
            <w:tcW w:type="dxa" w:w="3264"/>
            <w:vAlign w:val="center"/>
            <w:tcMar>
              <w:top w:w="90" w:type="dxa"/>
              <w:start w:w="120" w:type="dxa"/>
              <w:bottom w:w="90" w:type="dxa"/>
              <w:end w:w="120" w:type="dxa"/>
            </w:tcMar>
            <w:shd w:fill="2E74B5"/>
          </w:tcPr>
          <w:p>
            <w:pPr>
              <w:spacing w:after="0"/>
            </w:pPr>
            <w:r/>
            <w:r>
              <w:rPr>
                <w:rFonts w:ascii="Calibri" w:hAnsi="Calibri"/>
                <w:b/>
                <w:color w:val="FFFFFF"/>
                <w:sz w:val="19"/>
              </w:rPr>
              <w:t>Responsibility</w:t>
            </w:r>
          </w:p>
        </w:tc>
        <w:tc>
          <w:tcPr>
            <w:tcW w:type="dxa" w:w="3264"/>
            <w:vAlign w:val="center"/>
            <w:tcMar>
              <w:top w:w="90" w:type="dxa"/>
              <w:start w:w="120" w:type="dxa"/>
              <w:bottom w:w="90" w:type="dxa"/>
              <w:end w:w="120" w:type="dxa"/>
            </w:tcMar>
            <w:shd w:fill="2E74B5"/>
          </w:tcPr>
          <w:p>
            <w:pPr>
              <w:spacing w:after="0"/>
            </w:pPr>
            <w:r/>
            <w:r>
              <w:rPr>
                <w:rFonts w:ascii="Calibri" w:hAnsi="Calibri"/>
                <w:b/>
                <w:color w:val="FFFFFF"/>
                <w:sz w:val="19"/>
              </w:rPr>
              <w:t>Governance Authority</w:t>
            </w:r>
          </w:p>
        </w:tc>
        <w:tc>
          <w:tcPr>
            <w:tcW w:type="dxa" w:w="3264"/>
            <w:vAlign w:val="center"/>
            <w:tcMar>
              <w:top w:w="90" w:type="dxa"/>
              <w:start w:w="120" w:type="dxa"/>
              <w:bottom w:w="90" w:type="dxa"/>
              <w:end w:w="120" w:type="dxa"/>
            </w:tcMar>
            <w:shd w:fill="2E74B5"/>
          </w:tcPr>
          <w:p>
            <w:pPr>
              <w:spacing w:after="0"/>
            </w:pPr>
            <w:r/>
            <w:r>
              <w:rPr>
                <w:rFonts w:ascii="Calibri" w:hAnsi="Calibri"/>
                <w:b/>
                <w:color w:val="FFFFFF"/>
                <w:sz w:val="19"/>
              </w:rPr>
              <w:t>Governance Evaluation</w:t>
            </w:r>
          </w:p>
        </w:tc>
      </w:tr>
      <w:tr>
        <w:tc>
          <w:tcPr>
            <w:tcW w:type="dxa" w:w="3672"/>
            <w:vAlign w:val="center"/>
            <w:tcMar>
              <w:top w:w="90" w:type="dxa"/>
              <w:start w:w="120" w:type="dxa"/>
              <w:bottom w:w="90" w:type="dxa"/>
              <w:end w:w="120" w:type="dxa"/>
            </w:tcMar>
          </w:tcPr>
          <w:p>
            <w:pPr>
              <w:spacing w:after="0"/>
            </w:pPr>
            <w:r/>
            <w:r>
              <w:rPr>
                <w:rFonts w:ascii="Calibri" w:hAnsi="Calibri"/>
                <w:b w:val="0"/>
                <w:sz w:val="19"/>
              </w:rPr>
              <w:t>Author policy</w:t>
            </w:r>
          </w:p>
        </w:tc>
        <w:tc>
          <w:tcPr>
            <w:tcW w:type="dxa" w:w="2808"/>
            <w:vAlign w:val="center"/>
            <w:tcMar>
              <w:top w:w="90" w:type="dxa"/>
              <w:start w:w="120" w:type="dxa"/>
              <w:bottom w:w="90" w:type="dxa"/>
              <w:end w:w="120" w:type="dxa"/>
            </w:tcMar>
          </w:tcPr>
          <w:p>
            <w:pPr>
              <w:spacing w:after="0"/>
            </w:pPr>
            <w:r/>
            <w:r>
              <w:rPr>
                <w:rFonts w:ascii="Calibri" w:hAnsi="Calibri"/>
                <w:b w:val="0"/>
                <w:sz w:val="19"/>
              </w:rPr>
              <w:t>Outside this RFC; may be performed by an authorized policy owner</w:t>
            </w:r>
          </w:p>
        </w:tc>
        <w:tc>
          <w:tcPr>
            <w:tcW w:type="dxa" w:w="2880"/>
            <w:vAlign w:val="center"/>
            <w:tcMar>
              <w:top w:w="90" w:type="dxa"/>
              <w:start w:w="120" w:type="dxa"/>
              <w:bottom w:w="90" w:type="dxa"/>
              <w:end w:w="120" w:type="dxa"/>
            </w:tcMar>
          </w:tcPr>
          <w:p>
            <w:pPr>
              <w:spacing w:after="0"/>
            </w:pPr>
            <w:r/>
            <w:r>
              <w:rPr>
                <w:rFonts w:ascii="Calibri" w:hAnsi="Calibri"/>
                <w:b w:val="0"/>
                <w:sz w:val="19"/>
              </w:rPr>
              <w:t>No</w:t>
            </w:r>
          </w:p>
        </w:tc>
      </w:tr>
      <w:tr>
        <w:tc>
          <w:tcPr>
            <w:tcW w:type="dxa" w:w="3672"/>
            <w:vAlign w:val="center"/>
            <w:tcMar>
              <w:top w:w="90" w:type="dxa"/>
              <w:start w:w="120" w:type="dxa"/>
              <w:bottom w:w="90" w:type="dxa"/>
              <w:end w:w="120" w:type="dxa"/>
            </w:tcMar>
            <w:shd w:fill="F8FAFC"/>
          </w:tcPr>
          <w:p>
            <w:pPr>
              <w:spacing w:after="0"/>
            </w:pPr>
            <w:r/>
            <w:r>
              <w:rPr>
                <w:rFonts w:ascii="Calibri" w:hAnsi="Calibri"/>
                <w:b w:val="0"/>
                <w:sz w:val="19"/>
              </w:rPr>
              <w:t>Grant institutional acceptance</w:t>
            </w:r>
          </w:p>
        </w:tc>
        <w:tc>
          <w:tcPr>
            <w:tcW w:type="dxa" w:w="2808"/>
            <w:vAlign w:val="center"/>
            <w:tcMar>
              <w:top w:w="90" w:type="dxa"/>
              <w:start w:w="120" w:type="dxa"/>
              <w:bottom w:w="90" w:type="dxa"/>
              <w:end w:w="120" w:type="dxa"/>
            </w:tcMar>
            <w:shd w:fill="F8FAFC"/>
          </w:tcPr>
          <w:p>
            <w:pPr>
              <w:spacing w:after="0"/>
            </w:pPr>
            <w:r/>
            <w:r>
              <w:rPr>
                <w:rFonts w:ascii="Calibri" w:hAnsi="Calibri"/>
                <w:b w:val="0"/>
                <w:sz w:val="19"/>
              </w:rPr>
              <w:t>Yes</w:t>
            </w:r>
          </w:p>
        </w:tc>
        <w:tc>
          <w:tcPr>
            <w:tcW w:type="dxa" w:w="2880"/>
            <w:vAlign w:val="center"/>
            <w:tcMar>
              <w:top w:w="90" w:type="dxa"/>
              <w:start w:w="120" w:type="dxa"/>
              <w:bottom w:w="90" w:type="dxa"/>
              <w:end w:w="120" w:type="dxa"/>
            </w:tcMar>
            <w:shd w:fill="F8FAFC"/>
          </w:tcPr>
          <w:p>
            <w:pPr>
              <w:spacing w:after="0"/>
            </w:pPr>
            <w:r/>
            <w:r>
              <w:rPr>
                <w:rFonts w:ascii="Calibri" w:hAnsi="Calibri"/>
                <w:b w:val="0"/>
                <w:sz w:val="19"/>
              </w:rPr>
              <w:t>No</w:t>
            </w:r>
          </w:p>
        </w:tc>
      </w:tr>
      <w:tr>
        <w:tc>
          <w:tcPr>
            <w:tcW w:type="dxa" w:w="3672"/>
            <w:vAlign w:val="center"/>
            <w:tcMar>
              <w:top w:w="90" w:type="dxa"/>
              <w:start w:w="120" w:type="dxa"/>
              <w:bottom w:w="90" w:type="dxa"/>
              <w:end w:w="120" w:type="dxa"/>
            </w:tcMar>
          </w:tcPr>
          <w:p>
            <w:pPr>
              <w:spacing w:after="0"/>
            </w:pPr>
            <w:r/>
            <w:r>
              <w:rPr>
                <w:rFonts w:ascii="Calibri" w:hAnsi="Calibri"/>
                <w:b w:val="0"/>
                <w:sz w:val="19"/>
              </w:rPr>
              <w:t>Produce Acceptance Evidence</w:t>
            </w:r>
          </w:p>
        </w:tc>
        <w:tc>
          <w:tcPr>
            <w:tcW w:type="dxa" w:w="2808"/>
            <w:vAlign w:val="center"/>
            <w:tcMar>
              <w:top w:w="90" w:type="dxa"/>
              <w:start w:w="120" w:type="dxa"/>
              <w:bottom w:w="90" w:type="dxa"/>
              <w:end w:w="120" w:type="dxa"/>
            </w:tcMar>
          </w:tcPr>
          <w:p>
            <w:pPr>
              <w:spacing w:after="0"/>
            </w:pPr>
            <w:r/>
            <w:r>
              <w:rPr>
                <w:rFonts w:ascii="Calibri" w:hAnsi="Calibri"/>
                <w:b w:val="0"/>
                <w:sz w:val="19"/>
              </w:rPr>
              <w:t>Yes, under AEM-001</w:t>
            </w:r>
          </w:p>
        </w:tc>
        <w:tc>
          <w:tcPr>
            <w:tcW w:type="dxa" w:w="2880"/>
            <w:vAlign w:val="center"/>
            <w:tcMar>
              <w:top w:w="90" w:type="dxa"/>
              <w:start w:w="120" w:type="dxa"/>
              <w:bottom w:w="90" w:type="dxa"/>
              <w:end w:w="120" w:type="dxa"/>
            </w:tcMar>
          </w:tcPr>
          <w:p>
            <w:pPr>
              <w:spacing w:after="0"/>
            </w:pPr>
            <w:r/>
            <w:r>
              <w:rPr>
                <w:rFonts w:ascii="Calibri" w:hAnsi="Calibri"/>
                <w:b w:val="0"/>
                <w:sz w:val="19"/>
              </w:rPr>
              <w:t>No</w:t>
            </w:r>
          </w:p>
        </w:tc>
      </w:tr>
      <w:tr>
        <w:tc>
          <w:tcPr>
            <w:tcW w:type="dxa" w:w="3672"/>
            <w:vAlign w:val="center"/>
            <w:tcMar>
              <w:top w:w="90" w:type="dxa"/>
              <w:start w:w="120" w:type="dxa"/>
              <w:bottom w:w="90" w:type="dxa"/>
              <w:end w:w="120" w:type="dxa"/>
            </w:tcMar>
            <w:shd w:fill="F8FAFC"/>
          </w:tcPr>
          <w:p>
            <w:pPr>
              <w:spacing w:after="0"/>
            </w:pPr>
            <w:r/>
            <w:r>
              <w:rPr>
                <w:rFonts w:ascii="Calibri" w:hAnsi="Calibri"/>
                <w:b w:val="0"/>
                <w:sz w:val="19"/>
              </w:rPr>
              <w:t>Grant policy exception</w:t>
            </w:r>
          </w:p>
        </w:tc>
        <w:tc>
          <w:tcPr>
            <w:tcW w:type="dxa" w:w="2808"/>
            <w:vAlign w:val="center"/>
            <w:tcMar>
              <w:top w:w="90" w:type="dxa"/>
              <w:start w:w="120" w:type="dxa"/>
              <w:bottom w:w="90" w:type="dxa"/>
              <w:end w:w="120" w:type="dxa"/>
            </w:tcMar>
            <w:shd w:fill="F8FAFC"/>
          </w:tcPr>
          <w:p>
            <w:pPr>
              <w:spacing w:after="0"/>
            </w:pPr>
            <w:r/>
            <w:r>
              <w:rPr>
                <w:rFonts w:ascii="Calibri" w:hAnsi="Calibri"/>
                <w:b w:val="0"/>
                <w:sz w:val="19"/>
              </w:rPr>
              <w:t>Yes, under the authorized institutional process</w:t>
            </w:r>
          </w:p>
        </w:tc>
        <w:tc>
          <w:tcPr>
            <w:tcW w:type="dxa" w:w="2880"/>
            <w:vAlign w:val="center"/>
            <w:tcMar>
              <w:top w:w="90" w:type="dxa"/>
              <w:start w:w="120" w:type="dxa"/>
              <w:bottom w:w="90" w:type="dxa"/>
              <w:end w:w="120" w:type="dxa"/>
            </w:tcMar>
            <w:shd w:fill="F8FAFC"/>
          </w:tcPr>
          <w:p>
            <w:pPr>
              <w:spacing w:after="0"/>
            </w:pPr>
            <w:r/>
            <w:r>
              <w:rPr>
                <w:rFonts w:ascii="Calibri" w:hAnsi="Calibri"/>
                <w:b w:val="0"/>
                <w:sz w:val="19"/>
              </w:rPr>
              <w:t>No</w:t>
            </w:r>
          </w:p>
        </w:tc>
      </w:tr>
      <w:tr>
        <w:tc>
          <w:tcPr>
            <w:tcW w:type="dxa" w:w="3672"/>
            <w:vAlign w:val="center"/>
            <w:tcMar>
              <w:top w:w="90" w:type="dxa"/>
              <w:start w:w="120" w:type="dxa"/>
              <w:bottom w:w="90" w:type="dxa"/>
              <w:end w:w="120" w:type="dxa"/>
            </w:tcMar>
          </w:tcPr>
          <w:p>
            <w:pPr>
              <w:spacing w:after="0"/>
            </w:pPr>
            <w:r/>
            <w:r>
              <w:rPr>
                <w:rFonts w:ascii="Calibri" w:hAnsi="Calibri"/>
                <w:b w:val="0"/>
                <w:sz w:val="19"/>
              </w:rPr>
              <w:t>Produce Exception Authorization</w:t>
            </w:r>
          </w:p>
        </w:tc>
        <w:tc>
          <w:tcPr>
            <w:tcW w:type="dxa" w:w="2808"/>
            <w:vAlign w:val="center"/>
            <w:tcMar>
              <w:top w:w="90" w:type="dxa"/>
              <w:start w:w="120" w:type="dxa"/>
              <w:bottom w:w="90" w:type="dxa"/>
              <w:end w:w="120" w:type="dxa"/>
            </w:tcMar>
          </w:tcPr>
          <w:p>
            <w:pPr>
              <w:spacing w:after="0"/>
            </w:pPr>
            <w:r/>
            <w:r>
              <w:rPr>
                <w:rFonts w:ascii="Calibri" w:hAnsi="Calibri"/>
                <w:b w:val="0"/>
                <w:sz w:val="19"/>
              </w:rPr>
              <w:t>Yes, under GEM-001</w:t>
            </w:r>
          </w:p>
        </w:tc>
        <w:tc>
          <w:tcPr>
            <w:tcW w:type="dxa" w:w="2880"/>
            <w:vAlign w:val="center"/>
            <w:tcMar>
              <w:top w:w="90" w:type="dxa"/>
              <w:start w:w="120" w:type="dxa"/>
              <w:bottom w:w="90" w:type="dxa"/>
              <w:end w:w="120" w:type="dxa"/>
            </w:tcMar>
          </w:tcPr>
          <w:p>
            <w:pPr>
              <w:spacing w:after="0"/>
            </w:pPr>
            <w:r/>
            <w:r>
              <w:rPr>
                <w:rFonts w:ascii="Calibri" w:hAnsi="Calibri"/>
                <w:b w:val="0"/>
                <w:sz w:val="19"/>
              </w:rPr>
              <w:t>No</w:t>
            </w:r>
          </w:p>
        </w:tc>
      </w:tr>
      <w:tr>
        <w:tc>
          <w:tcPr>
            <w:tcW w:type="dxa" w:w="3672"/>
            <w:vAlign w:val="center"/>
            <w:tcMar>
              <w:top w:w="90" w:type="dxa"/>
              <w:start w:w="120" w:type="dxa"/>
              <w:bottom w:w="90" w:type="dxa"/>
              <w:end w:w="120" w:type="dxa"/>
            </w:tcMar>
            <w:shd w:fill="F8FAFC"/>
          </w:tcPr>
          <w:p>
            <w:pPr>
              <w:spacing w:after="0"/>
            </w:pPr>
            <w:r/>
            <w:r>
              <w:rPr>
                <w:rFonts w:ascii="Calibri" w:hAnsi="Calibri"/>
                <w:b w:val="0"/>
                <w:sz w:val="19"/>
              </w:rPr>
              <w:t>Evaluate a cognitive record against policy</w:t>
            </w:r>
          </w:p>
        </w:tc>
        <w:tc>
          <w:tcPr>
            <w:tcW w:type="dxa" w:w="2808"/>
            <w:vAlign w:val="center"/>
            <w:tcMar>
              <w:top w:w="90" w:type="dxa"/>
              <w:start w:w="120" w:type="dxa"/>
              <w:bottom w:w="90" w:type="dxa"/>
              <w:end w:w="120" w:type="dxa"/>
            </w:tcMar>
            <w:shd w:fill="F8FAFC"/>
          </w:tcPr>
          <w:p>
            <w:pPr>
              <w:spacing w:after="0"/>
            </w:pPr>
            <w:r/>
            <w:r>
              <w:rPr>
                <w:rFonts w:ascii="Calibri" w:hAnsi="Calibri"/>
                <w:b w:val="0"/>
                <w:sz w:val="19"/>
              </w:rPr>
              <w:t>No</w:t>
            </w:r>
          </w:p>
        </w:tc>
        <w:tc>
          <w:tcPr>
            <w:tcW w:type="dxa" w:w="2880"/>
            <w:vAlign w:val="center"/>
            <w:tcMar>
              <w:top w:w="90" w:type="dxa"/>
              <w:start w:w="120" w:type="dxa"/>
              <w:bottom w:w="90" w:type="dxa"/>
              <w:end w:w="120" w:type="dxa"/>
            </w:tcMar>
            <w:shd w:fill="F8FAFC"/>
          </w:tcPr>
          <w:p>
            <w:pPr>
              <w:spacing w:after="0"/>
            </w:pPr>
            <w:r/>
            <w:r>
              <w:rPr>
                <w:rFonts w:ascii="Calibri" w:hAnsi="Calibri"/>
                <w:b w:val="0"/>
                <w:sz w:val="19"/>
              </w:rPr>
              <w:t>Yes</w:t>
            </w:r>
          </w:p>
        </w:tc>
      </w:tr>
      <w:tr>
        <w:tc>
          <w:tcPr>
            <w:tcW w:type="dxa" w:w="3672"/>
            <w:vAlign w:val="center"/>
            <w:tcMar>
              <w:top w:w="90" w:type="dxa"/>
              <w:start w:w="120" w:type="dxa"/>
              <w:bottom w:w="90" w:type="dxa"/>
              <w:end w:w="120" w:type="dxa"/>
            </w:tcMar>
          </w:tcPr>
          <w:p>
            <w:pPr>
              <w:spacing w:after="0"/>
            </w:pPr>
            <w:r/>
            <w:r>
              <w:rPr>
                <w:rFonts w:ascii="Calibri" w:hAnsi="Calibri"/>
                <w:b w:val="0"/>
                <w:sz w:val="19"/>
              </w:rPr>
              <w:t>Establish Governance Attestation</w:t>
            </w:r>
          </w:p>
        </w:tc>
        <w:tc>
          <w:tcPr>
            <w:tcW w:type="dxa" w:w="2808"/>
            <w:vAlign w:val="center"/>
            <w:tcMar>
              <w:top w:w="90" w:type="dxa"/>
              <w:start w:w="120" w:type="dxa"/>
              <w:bottom w:w="90" w:type="dxa"/>
              <w:end w:w="120" w:type="dxa"/>
            </w:tcMar>
          </w:tcPr>
          <w:p>
            <w:pPr>
              <w:spacing w:after="0"/>
            </w:pPr>
            <w:r/>
            <w:r>
              <w:rPr>
                <w:rFonts w:ascii="Calibri" w:hAnsi="Calibri"/>
                <w:b w:val="0"/>
                <w:sz w:val="19"/>
              </w:rPr>
              <w:t>No</w:t>
            </w:r>
          </w:p>
        </w:tc>
        <w:tc>
          <w:tcPr>
            <w:tcW w:type="dxa" w:w="2880"/>
            <w:vAlign w:val="center"/>
            <w:tcMar>
              <w:top w:w="90" w:type="dxa"/>
              <w:start w:w="120" w:type="dxa"/>
              <w:bottom w:w="90" w:type="dxa"/>
              <w:end w:w="120" w:type="dxa"/>
            </w:tcMar>
          </w:tcPr>
          <w:p>
            <w:pPr>
              <w:spacing w:after="0"/>
            </w:pPr>
            <w:r/>
            <w:r>
              <w:rPr>
                <w:rFonts w:ascii="Calibri" w:hAnsi="Calibri"/>
                <w:b w:val="0"/>
                <w:sz w:val="19"/>
              </w:rPr>
              <w:t>Yes</w:t>
            </w:r>
          </w:p>
        </w:tc>
      </w:tr>
      <w:tr>
        <w:tc>
          <w:tcPr>
            <w:tcW w:type="dxa" w:w="3672"/>
            <w:vAlign w:val="center"/>
            <w:tcMar>
              <w:top w:w="90" w:type="dxa"/>
              <w:start w:w="120" w:type="dxa"/>
              <w:bottom w:w="90" w:type="dxa"/>
              <w:end w:w="120" w:type="dxa"/>
            </w:tcMar>
            <w:shd w:fill="F8FAFC"/>
          </w:tcPr>
          <w:p>
            <w:pPr>
              <w:spacing w:after="0"/>
            </w:pPr>
            <w:r/>
            <w:r>
              <w:rPr>
                <w:rFonts w:ascii="Calibri" w:hAnsi="Calibri"/>
                <w:b w:val="0"/>
                <w:sz w:val="19"/>
              </w:rPr>
              <w:t>Create or modify Knowledge or Decision</w:t>
            </w:r>
          </w:p>
        </w:tc>
        <w:tc>
          <w:tcPr>
            <w:tcW w:type="dxa" w:w="2808"/>
            <w:vAlign w:val="center"/>
            <w:tcMar>
              <w:top w:w="90" w:type="dxa"/>
              <w:start w:w="120" w:type="dxa"/>
              <w:bottom w:w="90" w:type="dxa"/>
              <w:end w:w="120" w:type="dxa"/>
            </w:tcMar>
            <w:shd w:fill="F8FAFC"/>
          </w:tcPr>
          <w:p>
            <w:pPr>
              <w:spacing w:after="0"/>
            </w:pPr>
            <w:r/>
            <w:r>
              <w:rPr>
                <w:rFonts w:ascii="Calibri" w:hAnsi="Calibri"/>
                <w:b w:val="0"/>
                <w:sz w:val="19"/>
              </w:rPr>
              <w:t>No</w:t>
            </w:r>
          </w:p>
        </w:tc>
        <w:tc>
          <w:tcPr>
            <w:tcW w:type="dxa" w:w="2880"/>
            <w:vAlign w:val="center"/>
            <w:tcMar>
              <w:top w:w="90" w:type="dxa"/>
              <w:start w:w="120" w:type="dxa"/>
              <w:bottom w:w="90" w:type="dxa"/>
              <w:end w:w="120" w:type="dxa"/>
            </w:tcMar>
            <w:shd w:fill="F8FAFC"/>
          </w:tcPr>
          <w:p>
            <w:pPr>
              <w:spacing w:after="0"/>
            </w:pPr>
            <w:r/>
            <w:r>
              <w:rPr>
                <w:rFonts w:ascii="Calibri" w:hAnsi="Calibri"/>
                <w:b w:val="0"/>
                <w:sz w:val="19"/>
              </w:rPr>
              <w:t>No</w:t>
            </w:r>
          </w:p>
        </w:tc>
      </w:tr>
      <w:tr>
        <w:tc>
          <w:tcPr>
            <w:tcW w:type="dxa" w:w="3672"/>
            <w:vAlign w:val="center"/>
            <w:tcMar>
              <w:top w:w="90" w:type="dxa"/>
              <w:start w:w="120" w:type="dxa"/>
              <w:bottom w:w="90" w:type="dxa"/>
              <w:end w:w="120" w:type="dxa"/>
            </w:tcMar>
          </w:tcPr>
          <w:p>
            <w:pPr>
              <w:spacing w:after="0"/>
            </w:pPr>
            <w:r/>
            <w:r>
              <w:rPr>
                <w:rFonts w:ascii="Calibri" w:hAnsi="Calibri"/>
                <w:b w:val="0"/>
                <w:sz w:val="19"/>
              </w:rPr>
              <w:t>Execute operational action</w:t>
            </w:r>
          </w:p>
        </w:tc>
        <w:tc>
          <w:tcPr>
            <w:tcW w:type="dxa" w:w="2808"/>
            <w:vAlign w:val="center"/>
            <w:tcMar>
              <w:top w:w="90" w:type="dxa"/>
              <w:start w:w="120" w:type="dxa"/>
              <w:bottom w:w="90" w:type="dxa"/>
              <w:end w:w="120" w:type="dxa"/>
            </w:tcMar>
          </w:tcPr>
          <w:p>
            <w:pPr>
              <w:spacing w:after="0"/>
            </w:pPr>
            <w:r/>
            <w:r>
              <w:rPr>
                <w:rFonts w:ascii="Calibri" w:hAnsi="Calibri"/>
                <w:b w:val="0"/>
                <w:sz w:val="19"/>
              </w:rPr>
              <w:t>No</w:t>
            </w:r>
          </w:p>
        </w:tc>
        <w:tc>
          <w:tcPr>
            <w:tcW w:type="dxa" w:w="2880"/>
            <w:vAlign w:val="center"/>
            <w:tcMar>
              <w:top w:w="90" w:type="dxa"/>
              <w:start w:w="120" w:type="dxa"/>
              <w:bottom w:w="90" w:type="dxa"/>
              <w:end w:w="120" w:type="dxa"/>
            </w:tcMar>
          </w:tcPr>
          <w:p>
            <w:pPr>
              <w:spacing w:after="0"/>
            </w:pPr>
            <w:r/>
            <w:r>
              <w:rPr>
                <w:rFonts w:ascii="Calibri" w:hAnsi="Calibri"/>
                <w:b w:val="0"/>
                <w:sz w:val="19"/>
              </w:rPr>
              <w:t>No</w:t>
            </w:r>
          </w:p>
        </w:tc>
      </w:tr>
    </w:tbl>
    <w:p>
      <w:pPr>
        <w:spacing w:after="20"/>
      </w:pPr>
    </w:p>
    <w:p>
      <w:pPr>
        <w:pStyle w:val="Heading1"/>
      </w:pPr>
      <w:r>
        <w:t>6. Corrected Dependency Flow</w:t>
      </w:r>
    </w:p>
    <w:p>
      <w:pPr>
        <w:spacing w:before="120" w:after="200"/>
        <w:jc w:val="center"/>
      </w:pPr>
      <w:r>
        <w:rPr>
          <w:rFonts w:ascii="Courier New" w:hAnsi="Courier New"/>
          <w:color w:val="1F4D78"/>
          <w:sz w:val="20"/>
        </w:rPr>
        <w:t>Governance Authority</w:t>
        <w:br/>
        <w:t xml:space="preserve">        │</w:t>
        <w:br/>
        <w:t xml:space="preserve">        ▼</w:t>
        <w:br/>
        <w:t>Acceptance Evidence (AEM-001)</w:t>
        <w:br/>
        <w:t xml:space="preserve">        │</w:t>
        <w:br/>
        <w:t xml:space="preserve">        ▼</w:t>
        <w:br/>
        <w:t>Knowledge Evaluation (KRM-001)</w:t>
        <w:br/>
        <w:t xml:space="preserve">        │</w:t>
        <w:br/>
        <w:t xml:space="preserve">        ▼</w:t>
        <w:br/>
        <w:t>Institutional Knowledge</w:t>
        <w:br/>
        <w:t xml:space="preserve">        │</w:t>
        <w:br/>
        <w:t xml:space="preserve">        ▼</w:t>
        <w:br/>
        <w:t>Decision Evaluation (DRM-001)</w:t>
        <w:br/>
        <w:t xml:space="preserve">        │</w:t>
        <w:br/>
        <w:t xml:space="preserve">        ▼</w:t>
        <w:br/>
        <w:t>Enterprise Decision</w:t>
        <w:br/>
        <w:t xml:space="preserve">        │</w:t>
        <w:br/>
        <w:t xml:space="preserve">        ▼</w:t>
        <w:br/>
        <w:t>Governance Evaluation (GRM-001)</w:t>
        <w:br/>
        <w:t xml:space="preserve">        │</w:t>
        <w:br/>
        <w:t xml:space="preserve">        ▼</w:t>
        <w:br/>
        <w:t>Governance Attestation</w:t>
      </w:r>
    </w:p>
    <w:p>
      <w:r>
        <w:t>The flow is acyclic because the Governance Evaluation capability is not the source of Acceptance Evidence. Governance Evaluation may independently evaluate records at any cognitive stage, but its attestation never becomes the approval evidence required to create an earlier-stage outcome.</w:t>
      </w:r>
    </w:p>
    <w:p>
      <w:pPr>
        <w:pStyle w:val="Heading1"/>
      </w:pPr>
      <w:r>
        <w:t>7. Evidence Contract Rules</w:t>
      </w:r>
    </w:p>
    <w:tbl>
      <w:tblPr>
        <w:tblStyle w:val="TableGrid"/>
        <w:tblW w:type="auto" w:w="0"/>
        <w:tblLayout w:type="fixed"/>
        <w:tblLook w:firstColumn="1" w:firstRow="1" w:lastColumn="0" w:lastRow="0" w:noHBand="0" w:noVBand="1" w:val="04A0"/>
      </w:tblPr>
      <w:tblGrid>
        <w:gridCol w:w="1800"/>
        <w:gridCol w:w="7560"/>
      </w:tblGrid>
      <w:tr>
        <w:trPr>
          <w:tblHeader w:val="true"/>
        </w:trPr>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Rule</w:t>
            </w:r>
          </w:p>
        </w:tc>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Statement</w:t>
            </w:r>
          </w:p>
        </w:tc>
      </w:tr>
      <w:tr>
        <w:tc>
          <w:tcPr>
            <w:tcW w:type="dxa" w:w="1800"/>
            <w:vAlign w:val="center"/>
            <w:tcMar>
              <w:top w:w="90" w:type="dxa"/>
              <w:start w:w="120" w:type="dxa"/>
              <w:bottom w:w="90" w:type="dxa"/>
              <w:end w:w="120" w:type="dxa"/>
            </w:tcMar>
          </w:tcPr>
          <w:p>
            <w:pPr>
              <w:spacing w:after="0"/>
            </w:pPr>
            <w:r/>
            <w:r>
              <w:rPr>
                <w:rFonts w:ascii="Calibri" w:hAnsi="Calibri"/>
                <w:b w:val="0"/>
                <w:sz w:val="19"/>
              </w:rPr>
              <w:t>RFC-013-01</w:t>
            </w:r>
          </w:p>
        </w:tc>
        <w:tc>
          <w:tcPr>
            <w:tcW w:type="dxa" w:w="7560"/>
            <w:vAlign w:val="center"/>
            <w:tcMar>
              <w:top w:w="90" w:type="dxa"/>
              <w:start w:w="120" w:type="dxa"/>
              <w:bottom w:w="90" w:type="dxa"/>
              <w:end w:w="120" w:type="dxa"/>
            </w:tcMar>
          </w:tcPr>
          <w:p>
            <w:pPr>
              <w:spacing w:after="0"/>
            </w:pPr>
            <w:r/>
            <w:r>
              <w:rPr>
                <w:rFonts w:ascii="Calibri" w:hAnsi="Calibri"/>
                <w:b w:val="0"/>
                <w:sz w:val="19"/>
              </w:rPr>
              <w:t>Acceptance Evidence SHALL be produced under Governance Authority, not by the GRM-001 Governance Evaluation capability.</w:t>
            </w:r>
          </w:p>
        </w:tc>
      </w:tr>
      <w:tr>
        <w:tc>
          <w:tcPr>
            <w:tcW w:type="dxa" w:w="1800"/>
            <w:vAlign w:val="center"/>
            <w:tcMar>
              <w:top w:w="90" w:type="dxa"/>
              <w:start w:w="120" w:type="dxa"/>
              <w:bottom w:w="90" w:type="dxa"/>
              <w:end w:w="120" w:type="dxa"/>
            </w:tcMar>
            <w:shd w:fill="F8FAFC"/>
          </w:tcPr>
          <w:p>
            <w:pPr>
              <w:spacing w:after="0"/>
            </w:pPr>
            <w:r/>
            <w:r>
              <w:rPr>
                <w:rFonts w:ascii="Calibri" w:hAnsi="Calibri"/>
                <w:b w:val="0"/>
                <w:sz w:val="19"/>
              </w:rPr>
              <w:t>RFC-013-02</w:t>
            </w:r>
          </w:p>
        </w:tc>
        <w:tc>
          <w:tcPr>
            <w:tcW w:type="dxa" w:w="7560"/>
            <w:vAlign w:val="center"/>
            <w:tcMar>
              <w:top w:w="90" w:type="dxa"/>
              <w:start w:w="120" w:type="dxa"/>
              <w:bottom w:w="90" w:type="dxa"/>
              <w:end w:w="120" w:type="dxa"/>
            </w:tcMar>
            <w:shd w:fill="F8FAFC"/>
          </w:tcPr>
          <w:p>
            <w:pPr>
              <w:spacing w:after="0"/>
            </w:pPr>
            <w:r/>
            <w:r>
              <w:rPr>
                <w:rFonts w:ascii="Calibri" w:hAnsi="Calibri"/>
                <w:b w:val="0"/>
                <w:sz w:val="19"/>
              </w:rPr>
              <w:t>A Governance Attestation SHALL NOT satisfy, replace, imply, or generate Acceptance Evidence.</w:t>
            </w:r>
          </w:p>
        </w:tc>
      </w:tr>
      <w:tr>
        <w:tc>
          <w:tcPr>
            <w:tcW w:type="dxa" w:w="1800"/>
            <w:vAlign w:val="center"/>
            <w:tcMar>
              <w:top w:w="90" w:type="dxa"/>
              <w:start w:w="120" w:type="dxa"/>
              <w:bottom w:w="90" w:type="dxa"/>
              <w:end w:w="120" w:type="dxa"/>
            </w:tcMar>
          </w:tcPr>
          <w:p>
            <w:pPr>
              <w:spacing w:after="0"/>
            </w:pPr>
            <w:r/>
            <w:r>
              <w:rPr>
                <w:rFonts w:ascii="Calibri" w:hAnsi="Calibri"/>
                <w:b w:val="0"/>
                <w:sz w:val="19"/>
              </w:rPr>
              <w:t>RFC-013-03</w:t>
            </w:r>
          </w:p>
        </w:tc>
        <w:tc>
          <w:tcPr>
            <w:tcW w:type="dxa" w:w="7560"/>
            <w:vAlign w:val="center"/>
            <w:tcMar>
              <w:top w:w="90" w:type="dxa"/>
              <w:start w:w="120" w:type="dxa"/>
              <w:bottom w:w="90" w:type="dxa"/>
              <w:end w:w="120" w:type="dxa"/>
            </w:tcMar>
          </w:tcPr>
          <w:p>
            <w:pPr>
              <w:spacing w:after="0"/>
            </w:pPr>
            <w:r/>
            <w:r>
              <w:rPr>
                <w:rFonts w:ascii="Calibri" w:hAnsi="Calibri"/>
                <w:b w:val="0"/>
                <w:sz w:val="19"/>
              </w:rPr>
              <w:t>Enterprise Trust SHALL NOT satisfy, replace, imply, or generate Acceptance Evidence.</w:t>
            </w:r>
          </w:p>
        </w:tc>
      </w:tr>
      <w:tr>
        <w:tc>
          <w:tcPr>
            <w:tcW w:type="dxa" w:w="1800"/>
            <w:vAlign w:val="center"/>
            <w:tcMar>
              <w:top w:w="90" w:type="dxa"/>
              <w:start w:w="120" w:type="dxa"/>
              <w:bottom w:w="90" w:type="dxa"/>
              <w:end w:w="120" w:type="dxa"/>
            </w:tcMar>
            <w:shd w:fill="F8FAFC"/>
          </w:tcPr>
          <w:p>
            <w:pPr>
              <w:spacing w:after="0"/>
            </w:pPr>
            <w:r/>
            <w:r>
              <w:rPr>
                <w:rFonts w:ascii="Calibri" w:hAnsi="Calibri"/>
                <w:b w:val="0"/>
                <w:sz w:val="19"/>
              </w:rPr>
              <w:t>RFC-013-04</w:t>
            </w:r>
          </w:p>
        </w:tc>
        <w:tc>
          <w:tcPr>
            <w:tcW w:type="dxa" w:w="7560"/>
            <w:vAlign w:val="center"/>
            <w:tcMar>
              <w:top w:w="90" w:type="dxa"/>
              <w:start w:w="120" w:type="dxa"/>
              <w:bottom w:w="90" w:type="dxa"/>
              <w:end w:w="120" w:type="dxa"/>
            </w:tcMar>
            <w:shd w:fill="F8FAFC"/>
          </w:tcPr>
          <w:p>
            <w:pPr>
              <w:spacing w:after="0"/>
            </w:pPr>
            <w:r/>
            <w:r>
              <w:rPr>
                <w:rFonts w:ascii="Calibri" w:hAnsi="Calibri"/>
                <w:b w:val="0"/>
                <w:sz w:val="19"/>
              </w:rPr>
              <w:t>Knowledge SHALL evaluate Acceptance Evidence and SHALL NOT grant approval.</w:t>
            </w:r>
          </w:p>
        </w:tc>
      </w:tr>
      <w:tr>
        <w:tc>
          <w:tcPr>
            <w:tcW w:type="dxa" w:w="1800"/>
            <w:vAlign w:val="center"/>
            <w:tcMar>
              <w:top w:w="90" w:type="dxa"/>
              <w:start w:w="120" w:type="dxa"/>
              <w:bottom w:w="90" w:type="dxa"/>
              <w:end w:w="120" w:type="dxa"/>
            </w:tcMar>
          </w:tcPr>
          <w:p>
            <w:pPr>
              <w:spacing w:after="0"/>
            </w:pPr>
            <w:r/>
            <w:r>
              <w:rPr>
                <w:rFonts w:ascii="Calibri" w:hAnsi="Calibri"/>
                <w:b w:val="0"/>
                <w:sz w:val="19"/>
              </w:rPr>
              <w:t>RFC-013-05</w:t>
            </w:r>
          </w:p>
        </w:tc>
        <w:tc>
          <w:tcPr>
            <w:tcW w:type="dxa" w:w="7560"/>
            <w:vAlign w:val="center"/>
            <w:tcMar>
              <w:top w:w="90" w:type="dxa"/>
              <w:start w:w="120" w:type="dxa"/>
              <w:bottom w:w="90" w:type="dxa"/>
              <w:end w:w="120" w:type="dxa"/>
            </w:tcMar>
          </w:tcPr>
          <w:p>
            <w:pPr>
              <w:spacing w:after="0"/>
            </w:pPr>
            <w:r/>
            <w:r>
              <w:rPr>
                <w:rFonts w:ascii="Calibri" w:hAnsi="Calibri"/>
                <w:b w:val="0"/>
                <w:sz w:val="19"/>
              </w:rPr>
              <w:t>Decision SHALL consume Institutional Knowledge and SHALL NOT grant approval.</w:t>
            </w:r>
          </w:p>
        </w:tc>
      </w:tr>
      <w:tr>
        <w:tc>
          <w:tcPr>
            <w:tcW w:type="dxa" w:w="1800"/>
            <w:vAlign w:val="center"/>
            <w:tcMar>
              <w:top w:w="90" w:type="dxa"/>
              <w:start w:w="120" w:type="dxa"/>
              <w:bottom w:w="90" w:type="dxa"/>
              <w:end w:w="120" w:type="dxa"/>
            </w:tcMar>
            <w:shd w:fill="F8FAFC"/>
          </w:tcPr>
          <w:p>
            <w:pPr>
              <w:spacing w:after="0"/>
            </w:pPr>
            <w:r/>
            <w:r>
              <w:rPr>
                <w:rFonts w:ascii="Calibri" w:hAnsi="Calibri"/>
                <w:b w:val="0"/>
                <w:sz w:val="19"/>
              </w:rPr>
              <w:t>RFC-013-06</w:t>
            </w:r>
          </w:p>
        </w:tc>
        <w:tc>
          <w:tcPr>
            <w:tcW w:type="dxa" w:w="7560"/>
            <w:vAlign w:val="center"/>
            <w:tcMar>
              <w:top w:w="90" w:type="dxa"/>
              <w:start w:w="120" w:type="dxa"/>
              <w:bottom w:w="90" w:type="dxa"/>
              <w:end w:w="120" w:type="dxa"/>
            </w:tcMar>
            <w:shd w:fill="F8FAFC"/>
          </w:tcPr>
          <w:p>
            <w:pPr>
              <w:spacing w:after="0"/>
            </w:pPr>
            <w:r/>
            <w:r>
              <w:rPr>
                <w:rFonts w:ascii="Calibri" w:hAnsi="Calibri"/>
                <w:b w:val="0"/>
                <w:sz w:val="19"/>
              </w:rPr>
              <w:t>Governance Evaluation SHALL evaluate governed records and SHALL NOT create or modify those records.</w:t>
            </w:r>
          </w:p>
        </w:tc>
      </w:tr>
      <w:tr>
        <w:tc>
          <w:tcPr>
            <w:tcW w:type="dxa" w:w="1800"/>
            <w:vAlign w:val="center"/>
            <w:tcMar>
              <w:top w:w="90" w:type="dxa"/>
              <w:start w:w="120" w:type="dxa"/>
              <w:bottom w:w="90" w:type="dxa"/>
              <w:end w:w="120" w:type="dxa"/>
            </w:tcMar>
          </w:tcPr>
          <w:p>
            <w:pPr>
              <w:spacing w:after="0"/>
            </w:pPr>
            <w:r/>
            <w:r>
              <w:rPr>
                <w:rFonts w:ascii="Calibri" w:hAnsi="Calibri"/>
                <w:b w:val="0"/>
                <w:sz w:val="19"/>
              </w:rPr>
              <w:t>RFC-013-07</w:t>
            </w:r>
          </w:p>
        </w:tc>
        <w:tc>
          <w:tcPr>
            <w:tcW w:type="dxa" w:w="7560"/>
            <w:vAlign w:val="center"/>
            <w:tcMar>
              <w:top w:w="90" w:type="dxa"/>
              <w:start w:w="120" w:type="dxa"/>
              <w:bottom w:w="90" w:type="dxa"/>
              <w:end w:w="120" w:type="dxa"/>
            </w:tcMar>
          </w:tcPr>
          <w:p>
            <w:pPr>
              <w:spacing w:after="0"/>
            </w:pPr>
            <w:r/>
            <w:r>
              <w:rPr>
                <w:rFonts w:ascii="Calibri" w:hAnsi="Calibri"/>
                <w:b w:val="0"/>
                <w:sz w:val="19"/>
              </w:rPr>
              <w:t>Exception Authorization remains distinct from Governance Attestation and is governed by GEM-001.</w:t>
            </w:r>
          </w:p>
        </w:tc>
      </w:tr>
      <w:tr>
        <w:tc>
          <w:tcPr>
            <w:tcW w:type="dxa" w:w="1800"/>
            <w:vAlign w:val="center"/>
            <w:tcMar>
              <w:top w:w="90" w:type="dxa"/>
              <w:start w:w="120" w:type="dxa"/>
              <w:bottom w:w="90" w:type="dxa"/>
              <w:end w:w="120" w:type="dxa"/>
            </w:tcMar>
            <w:shd w:fill="F8FAFC"/>
          </w:tcPr>
          <w:p>
            <w:pPr>
              <w:spacing w:after="0"/>
            </w:pPr>
            <w:r/>
            <w:r>
              <w:rPr>
                <w:rFonts w:ascii="Calibri" w:hAnsi="Calibri"/>
                <w:b w:val="0"/>
                <w:sz w:val="19"/>
              </w:rPr>
              <w:t>RFC-013-08</w:t>
            </w:r>
          </w:p>
        </w:tc>
        <w:tc>
          <w:tcPr>
            <w:tcW w:type="dxa" w:w="7560"/>
            <w:vAlign w:val="center"/>
            <w:tcMar>
              <w:top w:w="90" w:type="dxa"/>
              <w:start w:w="120" w:type="dxa"/>
              <w:bottom w:w="90" w:type="dxa"/>
              <w:end w:w="120" w:type="dxa"/>
            </w:tcMar>
            <w:shd w:fill="F8FAFC"/>
          </w:tcPr>
          <w:p>
            <w:pPr>
              <w:spacing w:after="0"/>
            </w:pPr>
            <w:r/>
            <w:r>
              <w:rPr>
                <w:rFonts w:ascii="Calibri" w:hAnsi="Calibri"/>
                <w:b w:val="0"/>
                <w:sz w:val="19"/>
              </w:rPr>
              <w:t>No evidence contract may be inferred solely from a successful runtime execution or Governance Outcome.</w:t>
            </w:r>
          </w:p>
        </w:tc>
      </w:tr>
    </w:tbl>
    <w:p>
      <w:pPr>
        <w:spacing w:after="20"/>
      </w:pPr>
    </w:p>
    <w:p>
      <w:pPr>
        <w:pStyle w:val="Heading1"/>
      </w:pPr>
      <w:r>
        <w:t>8. Interpretive Corrections to Existing Documents</w:t>
      </w:r>
    </w:p>
    <w:p>
      <w:r>
        <w:t>RFC-013 governs the interpretation of the following existing wording without rewriting the frozen source documents:</w:t>
      </w:r>
    </w:p>
    <w:tbl>
      <w:tblPr>
        <w:tblStyle w:val="TableGrid"/>
        <w:tblW w:type="auto" w:w="0"/>
        <w:tblLayout w:type="fixed"/>
        <w:tblLook w:firstColumn="1" w:firstRow="1" w:lastColumn="0" w:lastRow="0" w:noHBand="0" w:noVBand="1" w:val="04A0"/>
      </w:tblPr>
      <w:tblGrid>
        <w:gridCol w:w="3240"/>
        <w:gridCol w:w="6120"/>
      </w:tblGrid>
      <w:tr>
        <w:trPr>
          <w:tblHeader w:val="true"/>
        </w:trPr>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Existing wording</w:t>
            </w:r>
          </w:p>
        </w:tc>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Authoritative interpretation under RFC-013</w:t>
            </w:r>
          </w:p>
        </w:tc>
      </w:tr>
      <w:tr>
        <w:tc>
          <w:tcPr>
            <w:tcW w:type="dxa" w:w="3240"/>
            <w:vAlign w:val="center"/>
            <w:tcMar>
              <w:top w:w="90" w:type="dxa"/>
              <w:start w:w="120" w:type="dxa"/>
              <w:bottom w:w="90" w:type="dxa"/>
              <w:end w:w="120" w:type="dxa"/>
            </w:tcMar>
          </w:tcPr>
          <w:p>
            <w:pPr>
              <w:spacing w:after="0"/>
            </w:pPr>
            <w:r/>
            <w:r>
              <w:rPr>
                <w:rFonts w:ascii="Calibri" w:hAnsi="Calibri"/>
                <w:b w:val="0"/>
                <w:sz w:val="19"/>
              </w:rPr>
              <w:t>AEM-001: “Produced by Governance”</w:t>
            </w:r>
          </w:p>
        </w:tc>
        <w:tc>
          <w:tcPr>
            <w:tcW w:type="dxa" w:w="6120"/>
            <w:vAlign w:val="center"/>
            <w:tcMar>
              <w:top w:w="90" w:type="dxa"/>
              <w:start w:w="120" w:type="dxa"/>
              <w:bottom w:w="90" w:type="dxa"/>
              <w:end w:w="120" w:type="dxa"/>
            </w:tcMar>
          </w:tcPr>
          <w:p>
            <w:pPr>
              <w:spacing w:after="0"/>
            </w:pPr>
            <w:r/>
            <w:r>
              <w:rPr>
                <w:rFonts w:ascii="Calibri" w:hAnsi="Calibri"/>
                <w:b w:val="0"/>
                <w:sz w:val="19"/>
              </w:rPr>
              <w:t>Produced under Governance Authority. This does not mean the GRM-001 Governance Evaluation capability.</w:t>
            </w:r>
          </w:p>
        </w:tc>
      </w:tr>
      <w:tr>
        <w:tc>
          <w:tcPr>
            <w:tcW w:type="dxa" w:w="3240"/>
            <w:vAlign w:val="center"/>
            <w:tcMar>
              <w:top w:w="90" w:type="dxa"/>
              <w:start w:w="120" w:type="dxa"/>
              <w:bottom w:w="90" w:type="dxa"/>
              <w:end w:w="120" w:type="dxa"/>
            </w:tcMar>
            <w:shd w:fill="F8FAFC"/>
          </w:tcPr>
          <w:p>
            <w:pPr>
              <w:spacing w:after="0"/>
            </w:pPr>
            <w:r/>
            <w:r>
              <w:rPr>
                <w:rFonts w:ascii="Calibri" w:hAnsi="Calibri"/>
                <w:b w:val="0"/>
                <w:sz w:val="19"/>
              </w:rPr>
              <w:t>KRM-001: “Governance produces this evidence”</w:t>
            </w:r>
          </w:p>
        </w:tc>
        <w:tc>
          <w:tcPr>
            <w:tcW w:type="dxa" w:w="6120"/>
            <w:vAlign w:val="center"/>
            <w:tcMar>
              <w:top w:w="90" w:type="dxa"/>
              <w:start w:w="120" w:type="dxa"/>
              <w:bottom w:w="90" w:type="dxa"/>
              <w:end w:w="120" w:type="dxa"/>
            </w:tcMar>
            <w:shd w:fill="F8FAFC"/>
          </w:tcPr>
          <w:p>
            <w:pPr>
              <w:spacing w:after="0"/>
            </w:pPr>
            <w:r/>
            <w:r>
              <w:rPr>
                <w:rFonts w:ascii="Calibri" w:hAnsi="Calibri"/>
                <w:b w:val="0"/>
                <w:sz w:val="19"/>
              </w:rPr>
              <w:t>Governance Authority produces Acceptance Evidence. Knowledge evaluates it; GRM-001 does not produce it.</w:t>
            </w:r>
          </w:p>
        </w:tc>
      </w:tr>
      <w:tr>
        <w:tc>
          <w:tcPr>
            <w:tcW w:type="dxa" w:w="3240"/>
            <w:vAlign w:val="center"/>
            <w:tcMar>
              <w:top w:w="90" w:type="dxa"/>
              <w:start w:w="120" w:type="dxa"/>
              <w:bottom w:w="90" w:type="dxa"/>
              <w:end w:w="120" w:type="dxa"/>
            </w:tcMar>
          </w:tcPr>
          <w:p>
            <w:pPr>
              <w:spacing w:after="0"/>
            </w:pPr>
            <w:r/>
            <w:r>
              <w:rPr>
                <w:rFonts w:ascii="Calibri" w:hAnsi="Calibri"/>
                <w:b w:val="0"/>
                <w:sz w:val="19"/>
              </w:rPr>
              <w:t>EAH-001: “Governance institutionalizes cognition”</w:t>
            </w:r>
          </w:p>
        </w:tc>
        <w:tc>
          <w:tcPr>
            <w:tcW w:type="dxa" w:w="6120"/>
            <w:vAlign w:val="center"/>
            <w:tcMar>
              <w:top w:w="90" w:type="dxa"/>
              <w:start w:w="120" w:type="dxa"/>
              <w:bottom w:w="90" w:type="dxa"/>
              <w:end w:w="120" w:type="dxa"/>
            </w:tcMar>
          </w:tcPr>
          <w:p>
            <w:pPr>
              <w:spacing w:after="0"/>
            </w:pPr>
            <w:r/>
            <w:r>
              <w:rPr>
                <w:rFonts w:ascii="Calibri" w:hAnsi="Calibri"/>
                <w:b w:val="0"/>
                <w:sz w:val="19"/>
              </w:rPr>
              <w:t>The enterprise governance authority function grants institutional acceptance. Knowledge establishes Institutional Knowledge after evaluating the resulting Acceptance Evidence. GRM-001 separately evaluates trust and compliance.</w:t>
            </w:r>
          </w:p>
        </w:tc>
      </w:tr>
      <w:tr>
        <w:tc>
          <w:tcPr>
            <w:tcW w:type="dxa" w:w="3240"/>
            <w:vAlign w:val="center"/>
            <w:tcMar>
              <w:top w:w="90" w:type="dxa"/>
              <w:start w:w="120" w:type="dxa"/>
              <w:bottom w:w="90" w:type="dxa"/>
              <w:end w:w="120" w:type="dxa"/>
            </w:tcMar>
            <w:shd w:fill="F8FAFC"/>
          </w:tcPr>
          <w:p>
            <w:pPr>
              <w:spacing w:after="0"/>
            </w:pPr>
            <w:r/>
            <w:r>
              <w:rPr>
                <w:rFonts w:ascii="Calibri" w:hAnsi="Calibri"/>
                <w:b w:val="0"/>
                <w:sz w:val="19"/>
              </w:rPr>
              <w:t>GRM-001 Governance capability</w:t>
            </w:r>
          </w:p>
        </w:tc>
        <w:tc>
          <w:tcPr>
            <w:tcW w:type="dxa" w:w="6120"/>
            <w:vAlign w:val="center"/>
            <w:tcMar>
              <w:top w:w="90" w:type="dxa"/>
              <w:start w:w="120" w:type="dxa"/>
              <w:bottom w:w="90" w:type="dxa"/>
              <w:end w:w="120" w:type="dxa"/>
            </w:tcMar>
            <w:shd w:fill="F8FAFC"/>
          </w:tcPr>
          <w:p>
            <w:pPr>
              <w:spacing w:after="0"/>
            </w:pPr>
            <w:r/>
            <w:r>
              <w:rPr>
                <w:rFonts w:ascii="Calibri" w:hAnsi="Calibri"/>
                <w:b w:val="0"/>
                <w:sz w:val="19"/>
              </w:rPr>
              <w:t>Means Governance Evaluation only. It evaluates records and establishes attestations; it does not supply Acceptance Evidence to KRM-001.</w:t>
            </w:r>
          </w:p>
        </w:tc>
      </w:tr>
      <w:tr>
        <w:tc>
          <w:tcPr>
            <w:tcW w:type="dxa" w:w="3240"/>
            <w:vAlign w:val="center"/>
            <w:tcMar>
              <w:top w:w="90" w:type="dxa"/>
              <w:start w:w="120" w:type="dxa"/>
              <w:bottom w:w="90" w:type="dxa"/>
              <w:end w:w="120" w:type="dxa"/>
            </w:tcMar>
          </w:tcPr>
          <w:p>
            <w:pPr>
              <w:spacing w:after="0"/>
            </w:pPr>
            <w:r/>
            <w:r>
              <w:rPr>
                <w:rFonts w:ascii="Calibri" w:hAnsi="Calibri"/>
                <w:b w:val="0"/>
                <w:sz w:val="19"/>
              </w:rPr>
              <w:t>GEM-001 authorized governance authority</w:t>
            </w:r>
          </w:p>
        </w:tc>
        <w:tc>
          <w:tcPr>
            <w:tcW w:type="dxa" w:w="6120"/>
            <w:vAlign w:val="center"/>
            <w:tcMar>
              <w:top w:w="90" w:type="dxa"/>
              <w:start w:w="120" w:type="dxa"/>
              <w:bottom w:w="90" w:type="dxa"/>
              <w:end w:w="120" w:type="dxa"/>
            </w:tcMar>
          </w:tcPr>
          <w:p>
            <w:pPr>
              <w:spacing w:after="0"/>
            </w:pPr>
            <w:r/>
            <w:r>
              <w:rPr>
                <w:rFonts w:ascii="Calibri" w:hAnsi="Calibri"/>
                <w:b w:val="0"/>
                <w:sz w:val="19"/>
              </w:rPr>
              <w:t>Already means Governance Authority and remains consistent with RFC-013.</w:t>
            </w:r>
          </w:p>
        </w:tc>
      </w:tr>
    </w:tbl>
    <w:p>
      <w:pPr>
        <w:spacing w:after="20"/>
      </w:pPr>
    </w:p>
    <w:p>
      <w:pPr>
        <w:pStyle w:val="Heading1"/>
      </w:pPr>
      <w:r>
        <w:t>9. Capability Boundary Consequences</w:t>
      </w:r>
    </w:p>
    <w:p>
      <w:pPr>
        <w:pStyle w:val="ListBullet"/>
      </w:pPr>
      <w:r>
        <w:t>AEM-001 remains the sole authority for Acceptance Evidence business attributes and validation.</w:t>
      </w:r>
    </w:p>
    <w:p>
      <w:pPr>
        <w:pStyle w:val="ListBullet"/>
      </w:pPr>
      <w:r>
        <w:t>KRM-001 remains the sole authority for Knowledge Evaluation and Institutional Knowledge semantics.</w:t>
      </w:r>
    </w:p>
    <w:p>
      <w:pPr>
        <w:pStyle w:val="ListBullet"/>
      </w:pPr>
      <w:r>
        <w:t>DRM-001 remains the sole authority for Decision Evaluation and Enterprise Decision semantics.</w:t>
      </w:r>
    </w:p>
    <w:p>
      <w:pPr>
        <w:pStyle w:val="ListBullet"/>
      </w:pPr>
      <w:r>
        <w:t>GEM-001 remains the sole authority for Exception Authorization semantics.</w:t>
      </w:r>
    </w:p>
    <w:p>
      <w:pPr>
        <w:pStyle w:val="ListBullet"/>
      </w:pPr>
      <w:r>
        <w:t>GRM-001 remains the sole authority for Governance Evaluation, Governance Attestation, and Enterprise Trust semantics.</w:t>
      </w:r>
    </w:p>
    <w:p>
      <w:pPr>
        <w:pStyle w:val="ListBullet"/>
      </w:pPr>
      <w:r>
        <w:t>CAM-001 remains the authority for projection from immutable records to business outcomes.</w:t>
      </w:r>
    </w:p>
    <w:p>
      <w:pPr>
        <w:pStyle w:val="ListBullet"/>
      </w:pPr>
      <w:r>
        <w:t>A future implementation CDD must not combine Governance Authority and Governance Evaluation merely for implementation convenience.</w:t>
      </w:r>
    </w:p>
    <w:p>
      <w:pPr>
        <w:pStyle w:val="Heading1"/>
      </w:pPr>
      <w:r>
        <w:t>10. Non-Goals</w:t>
      </w:r>
    </w:p>
    <w:p>
      <w:pPr>
        <w:pStyle w:val="ListBullet"/>
      </w:pPr>
      <w:r>
        <w:t>Create a Governance Authority entity, actor, service, table, API, DTO, or user role.</w:t>
      </w:r>
    </w:p>
    <w:p>
      <w:pPr>
        <w:pStyle w:val="ListBullet"/>
      </w:pPr>
      <w:r>
        <w:t>Define who is organizationally authorized to approve a specific policy.</w:t>
      </w:r>
    </w:p>
    <w:p>
      <w:pPr>
        <w:pStyle w:val="ListBullet"/>
      </w:pPr>
      <w:r>
        <w:t>Change Acceptance Evidence or Exception Authorization attributes.</w:t>
      </w:r>
    </w:p>
    <w:p>
      <w:pPr>
        <w:pStyle w:val="ListBullet"/>
      </w:pPr>
      <w:r>
        <w:t>Change Knowledge, Decision, Governance, or projection outcome rules.</w:t>
      </w:r>
    </w:p>
    <w:p>
      <w:pPr>
        <w:pStyle w:val="ListBullet"/>
      </w:pPr>
      <w:r>
        <w:t>Define policy authoring, workflow, identity, access control, or operational execution.</w:t>
      </w:r>
    </w:p>
    <w:p>
      <w:pPr>
        <w:pStyle w:val="ListBullet"/>
      </w:pPr>
      <w:r>
        <w:t>Modify RFC-010, RFC-011, the CEO, Logical Model, Physical Model, or EAD-001.</w:t>
      </w:r>
    </w:p>
    <w:p>
      <w:pPr>
        <w:pStyle w:val="Heading1"/>
      </w:pPr>
      <w:r>
        <w:t>11. Traceability</w:t>
      </w:r>
    </w:p>
    <w:tbl>
      <w:tblPr>
        <w:tblStyle w:val="TableGrid"/>
        <w:tblW w:type="auto" w:w="0"/>
        <w:tblLayout w:type="fixed"/>
        <w:tblLook w:firstColumn="1" w:firstRow="1" w:lastColumn="0" w:lastRow="0" w:noHBand="0" w:noVBand="1" w:val="04A0"/>
      </w:tblPr>
      <w:tblGrid>
        <w:gridCol w:w="2232"/>
        <w:gridCol w:w="7128"/>
      </w:tblGrid>
      <w:tr>
        <w:trPr>
          <w:tblHeader w:val="true"/>
        </w:trPr>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Authority</w:t>
            </w:r>
          </w:p>
        </w:tc>
        <w:tc>
          <w:tcPr>
            <w:tcW w:type="dxa" w:w="4896"/>
            <w:vAlign w:val="center"/>
            <w:tcMar>
              <w:top w:w="90" w:type="dxa"/>
              <w:start w:w="120" w:type="dxa"/>
              <w:bottom w:w="90" w:type="dxa"/>
              <w:end w:w="120" w:type="dxa"/>
            </w:tcMar>
            <w:shd w:fill="2E74B5"/>
          </w:tcPr>
          <w:p>
            <w:pPr>
              <w:spacing w:after="0"/>
            </w:pPr>
            <w:r/>
            <w:r>
              <w:rPr>
                <w:rFonts w:ascii="Calibri" w:hAnsi="Calibri"/>
                <w:b/>
                <w:color w:val="FFFFFF"/>
                <w:sz w:val="19"/>
              </w:rPr>
              <w:t>Contribution</w:t>
            </w:r>
          </w:p>
        </w:tc>
      </w:tr>
      <w:tr>
        <w:tc>
          <w:tcPr>
            <w:tcW w:type="dxa" w:w="2232"/>
            <w:vAlign w:val="center"/>
            <w:tcMar>
              <w:top w:w="90" w:type="dxa"/>
              <w:start w:w="120" w:type="dxa"/>
              <w:bottom w:w="90" w:type="dxa"/>
              <w:end w:w="120" w:type="dxa"/>
            </w:tcMar>
          </w:tcPr>
          <w:p>
            <w:pPr>
              <w:spacing w:after="0"/>
            </w:pPr>
            <w:r/>
            <w:r>
              <w:rPr>
                <w:rFonts w:ascii="Calibri" w:hAnsi="Calibri"/>
                <w:b w:val="0"/>
                <w:sz w:val="19"/>
              </w:rPr>
              <w:t>EAH-001</w:t>
            </w:r>
          </w:p>
        </w:tc>
        <w:tc>
          <w:tcPr>
            <w:tcW w:type="dxa" w:w="7128"/>
            <w:vAlign w:val="center"/>
            <w:tcMar>
              <w:top w:w="90" w:type="dxa"/>
              <w:start w:w="120" w:type="dxa"/>
              <w:bottom w:w="90" w:type="dxa"/>
              <w:end w:w="120" w:type="dxa"/>
            </w:tcMar>
          </w:tcPr>
          <w:p>
            <w:pPr>
              <w:spacing w:after="0"/>
            </w:pPr>
            <w:r/>
            <w:r>
              <w:rPr>
                <w:rFonts w:ascii="Calibri" w:hAnsi="Calibri"/>
                <w:b w:val="0"/>
                <w:sz w:val="19"/>
              </w:rPr>
              <w:t>Architecture hierarchy and enterprise governance principle.</w:t>
            </w:r>
          </w:p>
        </w:tc>
      </w:tr>
      <w:tr>
        <w:tc>
          <w:tcPr>
            <w:tcW w:type="dxa" w:w="2232"/>
            <w:vAlign w:val="center"/>
            <w:tcMar>
              <w:top w:w="90" w:type="dxa"/>
              <w:start w:w="120" w:type="dxa"/>
              <w:bottom w:w="90" w:type="dxa"/>
              <w:end w:w="120" w:type="dxa"/>
            </w:tcMar>
            <w:shd w:fill="F8FAFC"/>
          </w:tcPr>
          <w:p>
            <w:pPr>
              <w:spacing w:after="0"/>
            </w:pPr>
            <w:r/>
            <w:r>
              <w:rPr>
                <w:rFonts w:ascii="Calibri" w:hAnsi="Calibri"/>
                <w:b w:val="0"/>
                <w:sz w:val="19"/>
              </w:rPr>
              <w:t>RFC-010</w:t>
            </w:r>
          </w:p>
        </w:tc>
        <w:tc>
          <w:tcPr>
            <w:tcW w:type="dxa" w:w="7128"/>
            <w:vAlign w:val="center"/>
            <w:tcMar>
              <w:top w:w="90" w:type="dxa"/>
              <w:start w:w="120" w:type="dxa"/>
              <w:bottom w:w="90" w:type="dxa"/>
              <w:end w:w="120" w:type="dxa"/>
            </w:tcMar>
            <w:shd w:fill="F8FAFC"/>
          </w:tcPr>
          <w:p>
            <w:pPr>
              <w:spacing w:after="0"/>
            </w:pPr>
            <w:r/>
            <w:r>
              <w:rPr>
                <w:rFonts w:ascii="Calibri" w:hAnsi="Calibri"/>
                <w:b w:val="0"/>
                <w:sz w:val="19"/>
              </w:rPr>
              <w:t>CEO boundary and cognitive capability separation.</w:t>
            </w:r>
          </w:p>
        </w:tc>
      </w:tr>
      <w:tr>
        <w:tc>
          <w:tcPr>
            <w:tcW w:type="dxa" w:w="2232"/>
            <w:vAlign w:val="center"/>
            <w:tcMar>
              <w:top w:w="90" w:type="dxa"/>
              <w:start w:w="120" w:type="dxa"/>
              <w:bottom w:w="90" w:type="dxa"/>
              <w:end w:w="120" w:type="dxa"/>
            </w:tcMar>
          </w:tcPr>
          <w:p>
            <w:pPr>
              <w:spacing w:after="0"/>
            </w:pPr>
            <w:r/>
            <w:r>
              <w:rPr>
                <w:rFonts w:ascii="Calibri" w:hAnsi="Calibri"/>
                <w:b w:val="0"/>
                <w:sz w:val="19"/>
              </w:rPr>
              <w:t>RFC-011</w:t>
            </w:r>
          </w:p>
        </w:tc>
        <w:tc>
          <w:tcPr>
            <w:tcW w:type="dxa" w:w="7128"/>
            <w:vAlign w:val="center"/>
            <w:tcMar>
              <w:top w:w="90" w:type="dxa"/>
              <w:start w:w="120" w:type="dxa"/>
              <w:bottom w:w="90" w:type="dxa"/>
              <w:end w:w="120" w:type="dxa"/>
            </w:tcMar>
          </w:tcPr>
          <w:p>
            <w:pPr>
              <w:spacing w:after="0"/>
            </w:pPr>
            <w:r/>
            <w:r>
              <w:rPr>
                <w:rFonts w:ascii="Calibri" w:hAnsi="Calibri"/>
                <w:b w:val="0"/>
                <w:sz w:val="19"/>
              </w:rPr>
              <w:t>Immutable-record lifecycle and currentness.</w:t>
            </w:r>
          </w:p>
        </w:tc>
      </w:tr>
      <w:tr>
        <w:tc>
          <w:tcPr>
            <w:tcW w:type="dxa" w:w="2232"/>
            <w:vAlign w:val="center"/>
            <w:tcMar>
              <w:top w:w="90" w:type="dxa"/>
              <w:start w:w="120" w:type="dxa"/>
              <w:bottom w:w="90" w:type="dxa"/>
              <w:end w:w="120" w:type="dxa"/>
            </w:tcMar>
            <w:shd w:fill="F8FAFC"/>
          </w:tcPr>
          <w:p>
            <w:pPr>
              <w:spacing w:after="0"/>
            </w:pPr>
            <w:r/>
            <w:r>
              <w:rPr>
                <w:rFonts w:ascii="Calibri" w:hAnsi="Calibri"/>
                <w:b w:val="0"/>
                <w:sz w:val="19"/>
              </w:rPr>
              <w:t>RFC-012</w:t>
            </w:r>
          </w:p>
        </w:tc>
        <w:tc>
          <w:tcPr>
            <w:tcW w:type="dxa" w:w="7128"/>
            <w:vAlign w:val="center"/>
            <w:tcMar>
              <w:top w:w="90" w:type="dxa"/>
              <w:start w:w="120" w:type="dxa"/>
              <w:bottom w:w="90" w:type="dxa"/>
              <w:end w:w="120" w:type="dxa"/>
            </w:tcMar>
            <w:shd w:fill="F8FAFC"/>
          </w:tcPr>
          <w:p>
            <w:pPr>
              <w:spacing w:after="0"/>
            </w:pPr>
            <w:r/>
            <w:r>
              <w:rPr>
                <w:rFonts w:ascii="Calibri" w:hAnsi="Calibri"/>
                <w:b w:val="0"/>
                <w:sz w:val="19"/>
              </w:rPr>
              <w:t>Current constitutional authority and supersession of RFC-0001 through RFC-0009.</w:t>
            </w:r>
          </w:p>
        </w:tc>
      </w:tr>
      <w:tr>
        <w:tc>
          <w:tcPr>
            <w:tcW w:type="dxa" w:w="2232"/>
            <w:vAlign w:val="center"/>
            <w:tcMar>
              <w:top w:w="90" w:type="dxa"/>
              <w:start w:w="120" w:type="dxa"/>
              <w:bottom w:w="90" w:type="dxa"/>
              <w:end w:w="120" w:type="dxa"/>
            </w:tcMar>
          </w:tcPr>
          <w:p>
            <w:pPr>
              <w:spacing w:after="0"/>
            </w:pPr>
            <w:r/>
            <w:r>
              <w:rPr>
                <w:rFonts w:ascii="Calibri" w:hAnsi="Calibri"/>
                <w:b w:val="0"/>
                <w:sz w:val="19"/>
              </w:rPr>
              <w:t>CAM-001</w:t>
            </w:r>
          </w:p>
        </w:tc>
        <w:tc>
          <w:tcPr>
            <w:tcW w:type="dxa" w:w="7128"/>
            <w:vAlign w:val="center"/>
            <w:tcMar>
              <w:top w:w="90" w:type="dxa"/>
              <w:start w:w="120" w:type="dxa"/>
              <w:bottom w:w="90" w:type="dxa"/>
              <w:end w:w="120" w:type="dxa"/>
            </w:tcMar>
          </w:tcPr>
          <w:p>
            <w:pPr>
              <w:spacing w:after="0"/>
            </w:pPr>
            <w:r/>
            <w:r>
              <w:rPr>
                <w:rFonts w:ascii="Calibri" w:hAnsi="Calibri"/>
                <w:b w:val="0"/>
                <w:sz w:val="19"/>
              </w:rPr>
              <w:t>Projection from immutable cognitive records to business outcomes.</w:t>
            </w:r>
          </w:p>
        </w:tc>
      </w:tr>
      <w:tr>
        <w:tc>
          <w:tcPr>
            <w:tcW w:type="dxa" w:w="2232"/>
            <w:vAlign w:val="center"/>
            <w:tcMar>
              <w:top w:w="90" w:type="dxa"/>
              <w:start w:w="120" w:type="dxa"/>
              <w:bottom w:w="90" w:type="dxa"/>
              <w:end w:w="120" w:type="dxa"/>
            </w:tcMar>
            <w:shd w:fill="F8FAFC"/>
          </w:tcPr>
          <w:p>
            <w:pPr>
              <w:spacing w:after="0"/>
            </w:pPr>
            <w:r/>
            <w:r>
              <w:rPr>
                <w:rFonts w:ascii="Calibri" w:hAnsi="Calibri"/>
                <w:b w:val="0"/>
                <w:sz w:val="19"/>
              </w:rPr>
              <w:t>AEM-001 v1.0</w:t>
            </w:r>
          </w:p>
        </w:tc>
        <w:tc>
          <w:tcPr>
            <w:tcW w:type="dxa" w:w="7128"/>
            <w:vAlign w:val="center"/>
            <w:tcMar>
              <w:top w:w="90" w:type="dxa"/>
              <w:start w:w="120" w:type="dxa"/>
              <w:bottom w:w="90" w:type="dxa"/>
              <w:end w:w="120" w:type="dxa"/>
            </w:tcMar>
            <w:shd w:fill="F8FAFC"/>
          </w:tcPr>
          <w:p>
            <w:pPr>
              <w:spacing w:after="0"/>
            </w:pPr>
            <w:r/>
            <w:r>
              <w:rPr>
                <w:rFonts w:ascii="Calibri" w:hAnsi="Calibri"/>
                <w:b w:val="0"/>
                <w:sz w:val="19"/>
              </w:rPr>
              <w:t>Acceptance Evidence contract.</w:t>
            </w:r>
          </w:p>
        </w:tc>
      </w:tr>
      <w:tr>
        <w:tc>
          <w:tcPr>
            <w:tcW w:type="dxa" w:w="2232"/>
            <w:vAlign w:val="center"/>
            <w:tcMar>
              <w:top w:w="90" w:type="dxa"/>
              <w:start w:w="120" w:type="dxa"/>
              <w:bottom w:w="90" w:type="dxa"/>
              <w:end w:w="120" w:type="dxa"/>
            </w:tcMar>
          </w:tcPr>
          <w:p>
            <w:pPr>
              <w:spacing w:after="0"/>
            </w:pPr>
            <w:r/>
            <w:r>
              <w:rPr>
                <w:rFonts w:ascii="Calibri" w:hAnsi="Calibri"/>
                <w:b w:val="0"/>
                <w:sz w:val="19"/>
              </w:rPr>
              <w:t>KRM-001 v1.2</w:t>
            </w:r>
          </w:p>
        </w:tc>
        <w:tc>
          <w:tcPr>
            <w:tcW w:type="dxa" w:w="7128"/>
            <w:vAlign w:val="center"/>
            <w:tcMar>
              <w:top w:w="90" w:type="dxa"/>
              <w:start w:w="120" w:type="dxa"/>
              <w:bottom w:w="90" w:type="dxa"/>
              <w:end w:w="120" w:type="dxa"/>
            </w:tcMar>
          </w:tcPr>
          <w:p>
            <w:pPr>
              <w:spacing w:after="0"/>
            </w:pPr>
            <w:r/>
            <w:r>
              <w:rPr>
                <w:rFonts w:ascii="Calibri" w:hAnsi="Calibri"/>
                <w:b w:val="0"/>
                <w:sz w:val="19"/>
              </w:rPr>
              <w:t>Knowledge evaluates Acceptance Evidence and establishes Institutional Knowledge.</w:t>
            </w:r>
          </w:p>
        </w:tc>
      </w:tr>
      <w:tr>
        <w:tc>
          <w:tcPr>
            <w:tcW w:type="dxa" w:w="2232"/>
            <w:vAlign w:val="center"/>
            <w:tcMar>
              <w:top w:w="90" w:type="dxa"/>
              <w:start w:w="120" w:type="dxa"/>
              <w:bottom w:w="90" w:type="dxa"/>
              <w:end w:w="120" w:type="dxa"/>
            </w:tcMar>
            <w:shd w:fill="F8FAFC"/>
          </w:tcPr>
          <w:p>
            <w:pPr>
              <w:spacing w:after="0"/>
            </w:pPr>
            <w:r/>
            <w:r>
              <w:rPr>
                <w:rFonts w:ascii="Calibri" w:hAnsi="Calibri"/>
                <w:b w:val="0"/>
                <w:sz w:val="19"/>
              </w:rPr>
              <w:t>DRM-001 v1.1</w:t>
            </w:r>
          </w:p>
        </w:tc>
        <w:tc>
          <w:tcPr>
            <w:tcW w:type="dxa" w:w="7128"/>
            <w:vAlign w:val="center"/>
            <w:tcMar>
              <w:top w:w="90" w:type="dxa"/>
              <w:start w:w="120" w:type="dxa"/>
              <w:bottom w:w="90" w:type="dxa"/>
              <w:end w:w="120" w:type="dxa"/>
            </w:tcMar>
            <w:shd w:fill="F8FAFC"/>
          </w:tcPr>
          <w:p>
            <w:pPr>
              <w:spacing w:after="0"/>
            </w:pPr>
            <w:r/>
            <w:r>
              <w:rPr>
                <w:rFonts w:ascii="Calibri" w:hAnsi="Calibri"/>
                <w:b w:val="0"/>
                <w:sz w:val="19"/>
              </w:rPr>
              <w:t>Decision consumes Institutional Knowledge.</w:t>
            </w:r>
          </w:p>
        </w:tc>
      </w:tr>
      <w:tr>
        <w:tc>
          <w:tcPr>
            <w:tcW w:type="dxa" w:w="2232"/>
            <w:vAlign w:val="center"/>
            <w:tcMar>
              <w:top w:w="90" w:type="dxa"/>
              <w:start w:w="120" w:type="dxa"/>
              <w:bottom w:w="90" w:type="dxa"/>
              <w:end w:w="120" w:type="dxa"/>
            </w:tcMar>
          </w:tcPr>
          <w:p>
            <w:pPr>
              <w:spacing w:after="0"/>
            </w:pPr>
            <w:r/>
            <w:r>
              <w:rPr>
                <w:rFonts w:ascii="Calibri" w:hAnsi="Calibri"/>
                <w:b w:val="0"/>
                <w:sz w:val="19"/>
              </w:rPr>
              <w:t>GEM-001 v1.0</w:t>
            </w:r>
          </w:p>
        </w:tc>
        <w:tc>
          <w:tcPr>
            <w:tcW w:type="dxa" w:w="7128"/>
            <w:vAlign w:val="center"/>
            <w:tcMar>
              <w:top w:w="90" w:type="dxa"/>
              <w:start w:w="120" w:type="dxa"/>
              <w:bottom w:w="90" w:type="dxa"/>
              <w:end w:w="120" w:type="dxa"/>
            </w:tcMar>
          </w:tcPr>
          <w:p>
            <w:pPr>
              <w:spacing w:after="0"/>
            </w:pPr>
            <w:r/>
            <w:r>
              <w:rPr>
                <w:rFonts w:ascii="Calibri" w:hAnsi="Calibri"/>
                <w:b w:val="0"/>
                <w:sz w:val="19"/>
              </w:rPr>
              <w:t>Exception Authorization is produced by an authorized governance authority.</w:t>
            </w:r>
          </w:p>
        </w:tc>
      </w:tr>
      <w:tr>
        <w:tc>
          <w:tcPr>
            <w:tcW w:type="dxa" w:w="2232"/>
            <w:vAlign w:val="center"/>
            <w:tcMar>
              <w:top w:w="90" w:type="dxa"/>
              <w:start w:w="120" w:type="dxa"/>
              <w:bottom w:w="90" w:type="dxa"/>
              <w:end w:w="120" w:type="dxa"/>
            </w:tcMar>
            <w:shd w:fill="F8FAFC"/>
          </w:tcPr>
          <w:p>
            <w:pPr>
              <w:spacing w:after="0"/>
            </w:pPr>
            <w:r/>
            <w:r>
              <w:rPr>
                <w:rFonts w:ascii="Calibri" w:hAnsi="Calibri"/>
                <w:b w:val="0"/>
                <w:sz w:val="19"/>
              </w:rPr>
              <w:t>GRM-001 v1.1</w:t>
            </w:r>
          </w:p>
        </w:tc>
        <w:tc>
          <w:tcPr>
            <w:tcW w:type="dxa" w:w="7128"/>
            <w:vAlign w:val="center"/>
            <w:tcMar>
              <w:top w:w="90" w:type="dxa"/>
              <w:start w:w="120" w:type="dxa"/>
              <w:bottom w:w="90" w:type="dxa"/>
              <w:end w:w="120" w:type="dxa"/>
            </w:tcMar>
            <w:shd w:fill="F8FAFC"/>
          </w:tcPr>
          <w:p>
            <w:pPr>
              <w:spacing w:after="0"/>
            </w:pPr>
            <w:r/>
            <w:r>
              <w:rPr>
                <w:rFonts w:ascii="Calibri" w:hAnsi="Calibri"/>
                <w:b w:val="0"/>
                <w:sz w:val="19"/>
              </w:rPr>
              <w:t>Governance Evaluation and Attestation semantics.</w:t>
            </w:r>
          </w:p>
        </w:tc>
      </w:tr>
    </w:tbl>
    <w:p>
      <w:pPr>
        <w:spacing w:after="20"/>
      </w:pPr>
    </w:p>
    <w:p>
      <w:pPr>
        <w:pStyle w:val="Heading1"/>
      </w:pPr>
      <w:r>
        <w:t>12. Architecture Drift Validation</w:t>
      </w:r>
    </w:p>
    <w:p>
      <w:pPr>
        <w:pStyle w:val="ListBullet"/>
      </w:pPr>
      <w:r>
        <w:t>No business entity is introduced or modified.</w:t>
      </w:r>
    </w:p>
    <w:p>
      <w:pPr>
        <w:pStyle w:val="ListBullet"/>
      </w:pPr>
      <w:r>
        <w:t>Governance Authority is an architectural responsibility boundary, not a new artifact or entity.</w:t>
      </w:r>
    </w:p>
    <w:p>
      <w:pPr>
        <w:pStyle w:val="ListBullet"/>
      </w:pPr>
      <w:r>
        <w:t>No attribute or relationship is introduced or modified.</w:t>
      </w:r>
    </w:p>
    <w:p>
      <w:pPr>
        <w:pStyle w:val="ListBullet"/>
      </w:pPr>
      <w:r>
        <w:t>No BCS artifact contract is changed.</w:t>
      </w:r>
    </w:p>
    <w:p>
      <w:pPr>
        <w:pStyle w:val="ListBullet"/>
      </w:pPr>
      <w:r>
        <w:t>No architecture layer is bypassed.</w:t>
      </w:r>
    </w:p>
    <w:p>
      <w:pPr>
        <w:pStyle w:val="ListBullet"/>
      </w:pPr>
      <w:r>
        <w:t>No implementation technology is introduced.</w:t>
      </w:r>
    </w:p>
    <w:p>
      <w:pPr>
        <w:pStyle w:val="ListBullet"/>
      </w:pPr>
      <w:r>
        <w:t>The circular dependency is removed by separating approval authority from evaluation responsibility.</w:t>
      </w:r>
    </w:p>
    <w:p>
      <w:pPr>
        <w:pStyle w:val="Heading1"/>
      </w:pPr>
      <w:r>
        <w:t>13. Decision Summary</w:t>
      </w:r>
    </w:p>
    <w:p>
      <w:pPr>
        <w:keepNext/>
      </w:pPr>
      <w:r>
        <w:rPr>
          <w:b/>
        </w:rPr>
        <w:t>Governance Authority grants approval and produces governed evidence. Knowledge evaluates Acceptance Evidence. Decision consumes Institutional Knowledge. Governance Evaluation evaluates immutable records and establishes attestations.</w:t>
      </w:r>
    </w:p>
    <w:p>
      <w:r>
        <w:t>Governance Attestation and Enterprise Trust never substitute for Acceptance Evidence. The cognitive dependency graph is therefore acyclic.</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6E78"/>
        <w:sz w:val="16"/>
      </w:rPr>
      <w:t xml:space="preserve">CTEC Architecture  |  FROZEN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646E78"/>
        <w:sz w:val="16"/>
      </w:rPr>
      <w:t>RFC-013  |  GOVERNANCE AUTHORITY AND EVALUATION SEPARATION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434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4" w:lineRule="auto"/>
      <w:ind w:left="720" w:hanging="3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RFC-013 — Governance Authority and Evaluation Separation</dc:title>
  <dc:subject>Elimination of the Acceptance Evidence circular dependency</dc:subject>
  <dc:creator>CTEC Architecture</dc:creator>
  <cp:keywords>CTEC, ECOM, Governance Authority, Governance Evaluation, Acceptance Evidence, architecture</cp:keywords>
  <dc:description>generated by python-docx</dc:description>
  <cp:lastModifiedBy/>
  <cp:revision>1</cp:revision>
  <dcterms:created xsi:type="dcterms:W3CDTF">2013-12-23T23:15:00Z</dcterms:created>
  <dcterms:modified xsi:type="dcterms:W3CDTF">2013-12-23T23:15:00Z</dcterms:modified>
  <cp:category/>
</cp:coreProperties>
</file>