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60" w:after="80"/>
      </w:pPr>
      <w:r>
        <w:rPr>
          <w:rFonts w:ascii="Calibri" w:hAnsi="Calibri"/>
          <w:b/>
          <w:color w:val="2E74B5"/>
          <w:sz w:val="32"/>
        </w:rPr>
        <w:t>CAM-001</w:t>
      </w:r>
    </w:p>
    <w:p>
      <w:pPr>
        <w:spacing w:after="160"/>
      </w:pPr>
      <w:r>
        <w:rPr>
          <w:rFonts w:ascii="Calibri" w:hAnsi="Calibri"/>
          <w:b/>
          <w:color w:val="243447"/>
          <w:sz w:val="56"/>
        </w:rPr>
        <w:t>Canonical Projection Model</w:t>
      </w:r>
    </w:p>
    <w:p>
      <w:pPr>
        <w:spacing w:after="480"/>
      </w:pPr>
      <w:r>
        <w:rPr>
          <w:color w:val="505A64"/>
          <w:sz w:val="26"/>
        </w:rPr>
        <w:t>Architectural mapping from immutable cognitive records to authoritative enterprise outcomes</w:t>
      </w:r>
    </w:p>
    <w:tbl>
      <w:tblPr>
        <w:tblStyle w:val="TableGrid"/>
        <w:tblW w:type="auto" w:w="0"/>
        <w:tblLayout w:type="fixed"/>
        <w:tblLook w:firstColumn="1" w:firstRow="1" w:lastColumn="0" w:lastRow="0" w:noHBand="0" w:noVBand="1" w:val="04A0"/>
      </w:tblPr>
      <w:tblGrid>
        <w:gridCol w:w="2376"/>
        <w:gridCol w:w="6984"/>
      </w:tblGrid>
      <w:tr>
        <w:trPr>
          <w:tblHeader w:val="true"/>
        </w:trPr>
        <w:tc>
          <w:tcPr>
            <w:tcW w:type="dxa" w:w="4896"/>
            <w:vAlign w:val="center"/>
            <w:tcMar>
              <w:top w:w="90" w:type="dxa"/>
              <w:start w:w="120" w:type="dxa"/>
              <w:bottom w:w="90" w:type="dxa"/>
              <w:end w:w="120" w:type="dxa"/>
            </w:tcMar>
            <w:shd w:fill="2E74B5"/>
          </w:tcPr>
          <w:p>
            <w:pPr>
              <w:spacing w:after="0"/>
            </w:pPr>
            <w:r/>
            <w:r>
              <w:rPr>
                <w:rFonts w:ascii="Calibri" w:hAnsi="Calibri"/>
                <w:b/>
                <w:color w:val="FFFFFF"/>
                <w:sz w:val="18"/>
              </w:rPr>
              <w:t>Field</w:t>
            </w:r>
          </w:p>
        </w:tc>
        <w:tc>
          <w:tcPr>
            <w:tcW w:type="dxa" w:w="4896"/>
            <w:vAlign w:val="center"/>
            <w:tcMar>
              <w:top w:w="90" w:type="dxa"/>
              <w:start w:w="120" w:type="dxa"/>
              <w:bottom w:w="90" w:type="dxa"/>
              <w:end w:w="120" w:type="dxa"/>
            </w:tcMar>
            <w:shd w:fill="2E74B5"/>
          </w:tcPr>
          <w:p>
            <w:pPr>
              <w:spacing w:after="0"/>
            </w:pPr>
            <w:r/>
            <w:r>
              <w:rPr>
                <w:rFonts w:ascii="Calibri" w:hAnsi="Calibri"/>
                <w:b/>
                <w:color w:val="FFFFFF"/>
                <w:sz w:val="18"/>
              </w:rPr>
              <w:t>Value</w:t>
            </w:r>
          </w:p>
        </w:tc>
      </w:tr>
      <w:tr>
        <w:tc>
          <w:tcPr>
            <w:tcW w:type="dxa" w:w="2376"/>
            <w:vAlign w:val="center"/>
            <w:tcMar>
              <w:top w:w="90" w:type="dxa"/>
              <w:start w:w="120" w:type="dxa"/>
              <w:bottom w:w="90" w:type="dxa"/>
              <w:end w:w="120" w:type="dxa"/>
            </w:tcMar>
          </w:tcPr>
          <w:p>
            <w:pPr>
              <w:spacing w:after="0"/>
            </w:pPr>
            <w:r/>
            <w:r>
              <w:rPr>
                <w:rFonts w:ascii="Calibri" w:hAnsi="Calibri"/>
                <w:b w:val="0"/>
                <w:sz w:val="18"/>
              </w:rPr>
              <w:t>Document ID</w:t>
            </w:r>
          </w:p>
        </w:tc>
        <w:tc>
          <w:tcPr>
            <w:tcW w:type="dxa" w:w="6984"/>
            <w:vAlign w:val="center"/>
            <w:tcMar>
              <w:top w:w="90" w:type="dxa"/>
              <w:start w:w="120" w:type="dxa"/>
              <w:bottom w:w="90" w:type="dxa"/>
              <w:end w:w="120" w:type="dxa"/>
            </w:tcMar>
          </w:tcPr>
          <w:p>
            <w:pPr>
              <w:spacing w:after="0"/>
            </w:pPr>
            <w:r/>
            <w:r>
              <w:rPr>
                <w:rFonts w:ascii="Calibri" w:hAnsi="Calibri"/>
                <w:b w:val="0"/>
                <w:sz w:val="18"/>
              </w:rPr>
              <w:t>CAM-001</w:t>
            </w:r>
          </w:p>
        </w:tc>
      </w:tr>
      <w:tr>
        <w:tc>
          <w:tcPr>
            <w:tcW w:type="dxa" w:w="2376"/>
            <w:vAlign w:val="center"/>
            <w:tcMar>
              <w:top w:w="90" w:type="dxa"/>
              <w:start w:w="120" w:type="dxa"/>
              <w:bottom w:w="90" w:type="dxa"/>
              <w:end w:w="120" w:type="dxa"/>
            </w:tcMar>
            <w:shd w:fill="F8FAFC"/>
          </w:tcPr>
          <w:p>
            <w:pPr>
              <w:spacing w:after="0"/>
            </w:pPr>
            <w:r/>
            <w:r>
              <w:rPr>
                <w:rFonts w:ascii="Calibri" w:hAnsi="Calibri"/>
                <w:b w:val="0"/>
                <w:sz w:val="18"/>
              </w:rPr>
              <w:t>Version</w:t>
            </w:r>
          </w:p>
        </w:tc>
        <w:tc>
          <w:tcPr>
            <w:tcW w:type="dxa" w:w="6984"/>
            <w:vAlign w:val="center"/>
            <w:tcMar>
              <w:top w:w="90" w:type="dxa"/>
              <w:start w:w="120" w:type="dxa"/>
              <w:bottom w:w="90" w:type="dxa"/>
              <w:end w:w="120" w:type="dxa"/>
            </w:tcMar>
            <w:shd w:fill="F8FAFC"/>
          </w:tcPr>
          <w:p>
            <w:r>
              <w:t>1.1</w:t>
            </w:r>
          </w:p>
        </w:tc>
      </w:tr>
      <w:tr>
        <w:tc>
          <w:tcPr>
            <w:tcW w:type="dxa" w:w="2376"/>
            <w:vAlign w:val="center"/>
            <w:tcMar>
              <w:top w:w="90" w:type="dxa"/>
              <w:start w:w="120" w:type="dxa"/>
              <w:bottom w:w="90" w:type="dxa"/>
              <w:end w:w="120" w:type="dxa"/>
            </w:tcMar>
          </w:tcPr>
          <w:p>
            <w:pPr>
              <w:spacing w:after="0"/>
            </w:pPr>
            <w:r/>
            <w:r>
              <w:rPr>
                <w:rFonts w:ascii="Calibri" w:hAnsi="Calibri"/>
                <w:b w:val="0"/>
                <w:sz w:val="18"/>
              </w:rPr>
              <w:t>Status</w:t>
            </w:r>
          </w:p>
        </w:tc>
        <w:tc>
          <w:tcPr>
            <w:tcW w:type="dxa" w:w="6984"/>
            <w:vAlign w:val="center"/>
            <w:tcMar>
              <w:top w:w="90" w:type="dxa"/>
              <w:start w:w="120" w:type="dxa"/>
              <w:bottom w:w="90" w:type="dxa"/>
              <w:end w:w="120" w:type="dxa"/>
            </w:tcMar>
          </w:tcPr>
          <w:p>
            <w:pPr>
              <w:spacing w:after="0"/>
            </w:pPr>
            <w:r/>
            <w:r>
              <w:rPr>
                <w:rFonts w:ascii="Calibri" w:hAnsi="Calibri"/>
                <w:b w:val="0"/>
                <w:sz w:val="18"/>
              </w:rPr>
              <w:t>FROZEN</w:t>
            </w:r>
          </w:p>
        </w:tc>
      </w:tr>
      <w:tr>
        <w:tc>
          <w:tcPr>
            <w:tcW w:type="dxa" w:w="2376"/>
            <w:vAlign w:val="center"/>
            <w:tcMar>
              <w:top w:w="90" w:type="dxa"/>
              <w:start w:w="120" w:type="dxa"/>
              <w:bottom w:w="90" w:type="dxa"/>
              <w:end w:w="120" w:type="dxa"/>
            </w:tcMar>
            <w:shd w:fill="F8FAFC"/>
          </w:tcPr>
          <w:p>
            <w:pPr>
              <w:spacing w:after="0"/>
            </w:pPr>
            <w:r/>
            <w:r>
              <w:rPr>
                <w:rFonts w:ascii="Calibri" w:hAnsi="Calibri"/>
                <w:b w:val="0"/>
                <w:sz w:val="18"/>
              </w:rPr>
              <w:t>Document Type</w:t>
            </w:r>
          </w:p>
        </w:tc>
        <w:tc>
          <w:tcPr>
            <w:tcW w:type="dxa" w:w="6984"/>
            <w:vAlign w:val="center"/>
            <w:tcMar>
              <w:top w:w="90" w:type="dxa"/>
              <w:start w:w="120" w:type="dxa"/>
              <w:bottom w:w="90" w:type="dxa"/>
              <w:end w:w="120" w:type="dxa"/>
            </w:tcMar>
            <w:shd w:fill="F8FAFC"/>
          </w:tcPr>
          <w:p>
            <w:pPr>
              <w:spacing w:after="0"/>
            </w:pPr>
            <w:r/>
            <w:r>
              <w:rPr>
                <w:rFonts w:ascii="Calibri" w:hAnsi="Calibri"/>
                <w:b w:val="0"/>
                <w:sz w:val="18"/>
              </w:rPr>
              <w:t>Architecture Mapping Specification</w:t>
            </w:r>
          </w:p>
        </w:tc>
      </w:tr>
      <w:tr>
        <w:tc>
          <w:tcPr>
            <w:tcW w:type="dxa" w:w="2376"/>
            <w:vAlign w:val="center"/>
            <w:tcMar>
              <w:top w:w="90" w:type="dxa"/>
              <w:start w:w="120" w:type="dxa"/>
              <w:bottom w:w="90" w:type="dxa"/>
              <w:end w:w="120" w:type="dxa"/>
            </w:tcMar>
          </w:tcPr>
          <w:p>
            <w:pPr>
              <w:spacing w:after="0"/>
            </w:pPr>
            <w:r/>
            <w:r>
              <w:rPr>
                <w:rFonts w:ascii="Calibri" w:hAnsi="Calibri"/>
                <w:b w:val="0"/>
                <w:sz w:val="18"/>
              </w:rPr>
              <w:t>Authority</w:t>
            </w:r>
          </w:p>
        </w:tc>
        <w:tc>
          <w:tcPr>
            <w:tcW w:type="dxa" w:w="6984"/>
            <w:vAlign w:val="center"/>
            <w:tcMar>
              <w:top w:w="90" w:type="dxa"/>
              <w:start w:w="120" w:type="dxa"/>
              <w:bottom w:w="90" w:type="dxa"/>
              <w:end w:w="120" w:type="dxa"/>
            </w:tcMar>
          </w:tcPr>
          <w:p>
            <w:pPr>
              <w:spacing w:after="0"/>
            </w:pPr>
            <w:r/>
            <w:r>
              <w:rPr>
                <w:rFonts w:ascii="Calibri" w:hAnsi="Calibri"/>
                <w:b w:val="0"/>
                <w:sz w:val="18"/>
              </w:rPr>
              <w:t>ECOM Architecture</w:t>
            </w:r>
          </w:p>
        </w:tc>
      </w:tr>
      <w:tr>
        <w:tc>
          <w:tcPr>
            <w:tcW w:type="dxa" w:w="2376"/>
            <w:vAlign w:val="center"/>
            <w:tcMar>
              <w:top w:w="90" w:type="dxa"/>
              <w:start w:w="120" w:type="dxa"/>
              <w:bottom w:w="90" w:type="dxa"/>
              <w:end w:w="120" w:type="dxa"/>
            </w:tcMar>
            <w:shd w:fill="F8FAFC"/>
          </w:tcPr>
          <w:p>
            <w:pPr>
              <w:spacing w:after="0"/>
            </w:pPr>
            <w:r/>
            <w:r>
              <w:rPr>
                <w:rFonts w:ascii="Calibri" w:hAnsi="Calibri"/>
                <w:b w:val="0"/>
                <w:sz w:val="18"/>
              </w:rPr>
              <w:t>Depends On</w:t>
            </w:r>
          </w:p>
        </w:tc>
        <w:tc>
          <w:tcPr>
            <w:tcW w:type="dxa" w:w="6984"/>
            <w:vAlign w:val="center"/>
            <w:tcMar>
              <w:top w:w="90" w:type="dxa"/>
              <w:start w:w="120" w:type="dxa"/>
              <w:bottom w:w="90" w:type="dxa"/>
              <w:end w:w="120" w:type="dxa"/>
            </w:tcMar>
            <w:shd w:fill="F8FAFC"/>
          </w:tcPr>
          <w:p>
            <w:pPr>
              <w:spacing w:after="0"/>
            </w:pPr>
            <w:r/>
            <w:r>
              <w:rPr>
                <w:rFonts w:ascii="Calibri" w:hAnsi="Calibri"/>
                <w:b w:val="0"/>
                <w:sz w:val="18"/>
              </w:rPr>
              <w:t>EAH-001; RFC-010; RFC-011; ASM-001; KRM-001; DRM-001; GRM-001</w:t>
            </w:r>
          </w:p>
        </w:tc>
      </w:tr>
      <w:tr>
        <w:tc>
          <w:tcPr>
            <w:tcW w:type="dxa" w:w="2376"/>
            <w:vAlign w:val="center"/>
            <w:tcMar>
              <w:top w:w="90" w:type="dxa"/>
              <w:start w:w="120" w:type="dxa"/>
              <w:bottom w:w="90" w:type="dxa"/>
              <w:end w:w="120" w:type="dxa"/>
            </w:tcMar>
          </w:tcPr>
          <w:p>
            <w:pPr>
              <w:spacing w:after="0"/>
            </w:pPr>
            <w:r/>
            <w:r>
              <w:rPr>
                <w:rFonts w:ascii="Calibri" w:hAnsi="Calibri"/>
                <w:b w:val="0"/>
                <w:sz w:val="18"/>
              </w:rPr>
              <w:t>Scope</w:t>
            </w:r>
          </w:p>
        </w:tc>
        <w:tc>
          <w:tcPr>
            <w:tcW w:type="dxa" w:w="6984"/>
            <w:vAlign w:val="center"/>
            <w:tcMar>
              <w:top w:w="90" w:type="dxa"/>
              <w:start w:w="120" w:type="dxa"/>
              <w:bottom w:w="90" w:type="dxa"/>
              <w:end w:w="120" w:type="dxa"/>
            </w:tcMar>
          </w:tcPr>
          <w:p>
            <w:pPr>
              <w:spacing w:after="0"/>
            </w:pPr>
            <w:r/>
            <w:r>
              <w:rPr>
                <w:rFonts w:ascii="Calibri" w:hAnsi="Calibri"/>
                <w:b w:val="0"/>
                <w:sz w:val="18"/>
              </w:rPr>
              <w:t>Projection from immutable cognitive records to business outcomes</w:t>
            </w:r>
          </w:p>
        </w:tc>
      </w:tr>
      <w:tr>
        <w:tc>
          <w:tcPr>
            <w:tcW w:type="dxa" w:w="2376"/>
            <w:vAlign w:val="center"/>
            <w:tcMar>
              <w:top w:w="90" w:type="dxa"/>
              <w:start w:w="120" w:type="dxa"/>
              <w:bottom w:w="90" w:type="dxa"/>
              <w:end w:w="120" w:type="dxa"/>
            </w:tcMar>
            <w:shd w:fill="F8FAFC"/>
          </w:tcPr>
          <w:p>
            <w:pPr>
              <w:spacing w:after="0"/>
            </w:pPr>
            <w:r/>
            <w:r>
              <w:rPr>
                <w:rFonts w:ascii="Calibri" w:hAnsi="Calibri"/>
                <w:b w:val="0"/>
                <w:sz w:val="18"/>
              </w:rPr>
              <w:t>Out of Scope</w:t>
            </w:r>
          </w:p>
        </w:tc>
        <w:tc>
          <w:tcPr>
            <w:tcW w:type="dxa" w:w="6984"/>
            <w:vAlign w:val="center"/>
            <w:tcMar>
              <w:top w:w="90" w:type="dxa"/>
              <w:start w:w="120" w:type="dxa"/>
              <w:bottom w:w="90" w:type="dxa"/>
              <w:end w:w="120" w:type="dxa"/>
            </w:tcMar>
            <w:shd w:fill="F8FAFC"/>
          </w:tcPr>
          <w:p>
            <w:pPr>
              <w:spacing w:after="0"/>
            </w:pPr>
            <w:r/>
            <w:r>
              <w:rPr>
                <w:rFonts w:ascii="Calibri" w:hAnsi="Calibri"/>
                <w:b w:val="0"/>
                <w:sz w:val="18"/>
              </w:rPr>
              <w:t>Ontology changes, implementation, persistence, APIs, DTOs, and runtime technology</w:t>
            </w:r>
          </w:p>
        </w:tc>
      </w:tr>
    </w:tbl>
    <w:p>
      <w:pPr>
        <w:spacing w:after="20"/>
      </w:pPr>
    </w:p>
    <w:p>
      <w:pPr>
        <w:pStyle w:val="Heading1"/>
      </w:pPr>
      <w:r>
        <w:t>1. Purpose</w:t>
      </w:r>
    </w:p>
    <w:p>
      <w:r>
        <w:t>CAM-001 defines the architectural mapping between immutable cognitive evaluation records and the authoritative business outcomes established by those records. It explains how recorded cognition acquires downstream business standing without modifying the Canonical Enterprise Ontology or conflating history with current enterprise understanding.</w:t>
      </w:r>
    </w:p>
    <w:p>
      <w:r>
        <w:t>CAM-001 does not create a second canonical model. It defines projection across existing, already-authorized concepts.</w:t>
      </w:r>
    </w:p>
    <w:p>
      <w:pPr>
        <w:pStyle w:val="Heading1"/>
      </w:pPr>
      <w:r>
        <w:t>2. Architectural Problem</w:t>
      </w:r>
    </w:p>
    <w:p>
      <w:r>
        <w:t>CTEC contains three distinct architectural planes that must not be collapsed:</w:t>
      </w:r>
    </w:p>
    <w:tbl>
      <w:tblPr>
        <w:tblStyle w:val="TableGrid"/>
        <w:tblW w:type="auto" w:w="0"/>
        <w:tblLayout w:type="fixed"/>
        <w:tblLook w:firstColumn="1" w:firstRow="1" w:lastColumn="0" w:lastRow="0" w:noHBand="0" w:noVBand="1" w:val="04A0"/>
      </w:tblPr>
      <w:tblGrid>
        <w:gridCol w:w="2088"/>
        <w:gridCol w:w="3528"/>
        <w:gridCol w:w="3744"/>
      </w:tblGrid>
      <w:tr>
        <w:trPr>
          <w:tblHeader w:val="true"/>
        </w:trPr>
        <w:tc>
          <w:tcPr>
            <w:tcW w:type="dxa" w:w="3264"/>
            <w:vAlign w:val="center"/>
            <w:tcMar>
              <w:top w:w="90" w:type="dxa"/>
              <w:start w:w="120" w:type="dxa"/>
              <w:bottom w:w="90" w:type="dxa"/>
              <w:end w:w="120" w:type="dxa"/>
            </w:tcMar>
            <w:shd w:fill="2E74B5"/>
          </w:tcPr>
          <w:p>
            <w:pPr>
              <w:spacing w:after="0"/>
            </w:pPr>
            <w:r/>
            <w:r>
              <w:rPr>
                <w:rFonts w:ascii="Calibri" w:hAnsi="Calibri"/>
                <w:b/>
                <w:color w:val="FFFFFF"/>
                <w:sz w:val="18"/>
              </w:rPr>
              <w:t>Plane</w:t>
            </w:r>
          </w:p>
        </w:tc>
        <w:tc>
          <w:tcPr>
            <w:tcW w:type="dxa" w:w="3264"/>
            <w:vAlign w:val="center"/>
            <w:tcMar>
              <w:top w:w="90" w:type="dxa"/>
              <w:start w:w="120" w:type="dxa"/>
              <w:bottom w:w="90" w:type="dxa"/>
              <w:end w:w="120" w:type="dxa"/>
            </w:tcMar>
            <w:shd w:fill="2E74B5"/>
          </w:tcPr>
          <w:p>
            <w:pPr>
              <w:spacing w:after="0"/>
            </w:pPr>
            <w:r/>
            <w:r>
              <w:rPr>
                <w:rFonts w:ascii="Calibri" w:hAnsi="Calibri"/>
                <w:b/>
                <w:color w:val="FFFFFF"/>
                <w:sz w:val="18"/>
              </w:rPr>
              <w:t>Contains</w:t>
            </w:r>
          </w:p>
        </w:tc>
        <w:tc>
          <w:tcPr>
            <w:tcW w:type="dxa" w:w="3264"/>
            <w:vAlign w:val="center"/>
            <w:tcMar>
              <w:top w:w="90" w:type="dxa"/>
              <w:start w:w="120" w:type="dxa"/>
              <w:bottom w:w="90" w:type="dxa"/>
              <w:end w:w="120" w:type="dxa"/>
            </w:tcMar>
            <w:shd w:fill="2E74B5"/>
          </w:tcPr>
          <w:p>
            <w:pPr>
              <w:spacing w:after="0"/>
            </w:pPr>
            <w:r/>
            <w:r>
              <w:rPr>
                <w:rFonts w:ascii="Calibri" w:hAnsi="Calibri"/>
                <w:b/>
                <w:color w:val="FFFFFF"/>
                <w:sz w:val="18"/>
              </w:rPr>
              <w:t>Architectural role</w:t>
            </w:r>
          </w:p>
        </w:tc>
      </w:tr>
      <w:tr>
        <w:tc>
          <w:tcPr>
            <w:tcW w:type="dxa" w:w="2088"/>
            <w:vAlign w:val="center"/>
            <w:tcMar>
              <w:top w:w="90" w:type="dxa"/>
              <w:start w:w="120" w:type="dxa"/>
              <w:bottom w:w="90" w:type="dxa"/>
              <w:end w:w="120" w:type="dxa"/>
            </w:tcMar>
          </w:tcPr>
          <w:p>
            <w:pPr>
              <w:spacing w:after="0"/>
            </w:pPr>
            <w:r/>
            <w:r>
              <w:rPr>
                <w:rFonts w:ascii="Calibri" w:hAnsi="Calibri"/>
                <w:b w:val="0"/>
                <w:sz w:val="18"/>
              </w:rPr>
              <w:t>Canonical Enterprise Ontology</w:t>
            </w:r>
          </w:p>
        </w:tc>
        <w:tc>
          <w:tcPr>
            <w:tcW w:type="dxa" w:w="3528"/>
            <w:vAlign w:val="center"/>
            <w:tcMar>
              <w:top w:w="90" w:type="dxa"/>
              <w:start w:w="120" w:type="dxa"/>
              <w:bottom w:w="90" w:type="dxa"/>
              <w:end w:w="120" w:type="dxa"/>
            </w:tcMar>
          </w:tcPr>
          <w:p>
            <w:pPr>
              <w:spacing w:after="0"/>
            </w:pPr>
            <w:r/>
            <w:r>
              <w:rPr>
                <w:rFonts w:ascii="Calibri" w:hAnsi="Calibri"/>
                <w:b w:val="0"/>
                <w:sz w:val="18"/>
              </w:rPr>
              <w:t>Enterprise, Enterprise Entity, Institutional Concept, Source System, Source Object, and other CEO structures authorized by RFC-010</w:t>
            </w:r>
          </w:p>
        </w:tc>
        <w:tc>
          <w:tcPr>
            <w:tcW w:type="dxa" w:w="3744"/>
            <w:vAlign w:val="center"/>
            <w:tcMar>
              <w:top w:w="90" w:type="dxa"/>
              <w:start w:w="120" w:type="dxa"/>
              <w:bottom w:w="90" w:type="dxa"/>
              <w:end w:w="120" w:type="dxa"/>
            </w:tcMar>
          </w:tcPr>
          <w:p>
            <w:pPr>
              <w:spacing w:after="0"/>
            </w:pPr>
            <w:r/>
            <w:r>
              <w:rPr>
                <w:rFonts w:ascii="Calibri" w:hAnsi="Calibri"/>
                <w:b w:val="0"/>
                <w:sz w:val="18"/>
              </w:rPr>
              <w:t>Represents structural enterprise reality.</w:t>
            </w:r>
          </w:p>
        </w:tc>
      </w:tr>
      <w:tr>
        <w:tc>
          <w:tcPr>
            <w:tcW w:type="dxa" w:w="2088"/>
            <w:vAlign w:val="center"/>
            <w:tcMar>
              <w:top w:w="90" w:type="dxa"/>
              <w:start w:w="120" w:type="dxa"/>
              <w:bottom w:w="90" w:type="dxa"/>
              <w:end w:w="120" w:type="dxa"/>
            </w:tcMar>
            <w:shd w:fill="F8FAFC"/>
          </w:tcPr>
          <w:p>
            <w:pPr>
              <w:spacing w:after="0"/>
            </w:pPr>
            <w:r/>
            <w:r>
              <w:rPr>
                <w:rFonts w:ascii="Calibri" w:hAnsi="Calibri"/>
                <w:b w:val="0"/>
                <w:sz w:val="18"/>
              </w:rPr>
              <w:t>Cognitive Record Plane</w:t>
            </w:r>
          </w:p>
        </w:tc>
        <w:tc>
          <w:tcPr>
            <w:tcW w:type="dxa" w:w="3528"/>
            <w:vAlign w:val="center"/>
            <w:tcMar>
              <w:top w:w="90" w:type="dxa"/>
              <w:start w:w="120" w:type="dxa"/>
              <w:bottom w:w="90" w:type="dxa"/>
              <w:end w:w="120" w:type="dxa"/>
            </w:tcMar>
            <w:shd w:fill="F8FAFC"/>
          </w:tcPr>
          <w:p>
            <w:pPr>
              <w:spacing w:after="0"/>
            </w:pPr>
            <w:r/>
            <w:r>
              <w:rPr>
                <w:rFonts w:ascii="Calibri" w:hAnsi="Calibri"/>
                <w:b w:val="0"/>
                <w:sz w:val="18"/>
              </w:rPr>
              <w:t>Resolution Records, Assertion Records, Knowledge Evaluation Records, Decision Evaluation Records, and Governance Evaluation Records</w:t>
            </w:r>
          </w:p>
        </w:tc>
        <w:tc>
          <w:tcPr>
            <w:tcW w:type="dxa" w:w="3744"/>
            <w:vAlign w:val="center"/>
            <w:tcMar>
              <w:top w:w="90" w:type="dxa"/>
              <w:start w:w="120" w:type="dxa"/>
              <w:bottom w:w="90" w:type="dxa"/>
              <w:end w:w="120" w:type="dxa"/>
            </w:tcMar>
            <w:shd w:fill="F8FAFC"/>
          </w:tcPr>
          <w:p>
            <w:pPr>
              <w:spacing w:after="0"/>
            </w:pPr>
            <w:r/>
            <w:r>
              <w:rPr>
                <w:rFonts w:ascii="Calibri" w:hAnsi="Calibri"/>
                <w:b w:val="0"/>
                <w:sz w:val="18"/>
              </w:rPr>
              <w:t>Preserves immutable evidence, evaluation, explanation, policy traceability, effective dating, and history.</w:t>
            </w:r>
          </w:p>
        </w:tc>
      </w:tr>
      <w:tr>
        <w:tc>
          <w:tcPr>
            <w:tcW w:type="dxa" w:w="2088"/>
            <w:vAlign w:val="center"/>
            <w:tcMar>
              <w:top w:w="90" w:type="dxa"/>
              <w:start w:w="120" w:type="dxa"/>
              <w:bottom w:w="90" w:type="dxa"/>
              <w:end w:w="120" w:type="dxa"/>
            </w:tcMar>
          </w:tcPr>
          <w:p>
            <w:pPr>
              <w:spacing w:after="0"/>
            </w:pPr>
            <w:r/>
            <w:r>
              <w:rPr>
                <w:rFonts w:ascii="Calibri" w:hAnsi="Calibri"/>
                <w:b w:val="0"/>
                <w:sz w:val="18"/>
              </w:rPr>
              <w:t>Business Outcome Plane</w:t>
            </w:r>
          </w:p>
        </w:tc>
        <w:tc>
          <w:tcPr>
            <w:tcW w:type="dxa" w:w="3528"/>
            <w:vAlign w:val="center"/>
            <w:tcMar>
              <w:top w:w="90" w:type="dxa"/>
              <w:start w:w="120" w:type="dxa"/>
              <w:bottom w:w="90" w:type="dxa"/>
              <w:end w:w="120" w:type="dxa"/>
            </w:tcMar>
          </w:tcPr>
          <w:p>
            <w:pPr>
              <w:spacing w:after="0"/>
            </w:pPr>
            <w:r/>
            <w:r>
              <w:rPr>
                <w:rFonts w:ascii="Calibri" w:hAnsi="Calibri"/>
                <w:b w:val="0"/>
                <w:sz w:val="18"/>
              </w:rPr>
              <w:t>Established Assertion, Institutional Knowledge, Enterprise Decision, Governance Attestation, and emergent Enterprise Trust</w:t>
            </w:r>
          </w:p>
        </w:tc>
        <w:tc>
          <w:tcPr>
            <w:tcW w:type="dxa" w:w="3744"/>
            <w:vAlign w:val="center"/>
            <w:tcMar>
              <w:top w:w="90" w:type="dxa"/>
              <w:start w:w="120" w:type="dxa"/>
              <w:bottom w:w="90" w:type="dxa"/>
              <w:end w:w="120" w:type="dxa"/>
            </w:tcMar>
          </w:tcPr>
          <w:p>
            <w:pPr>
              <w:spacing w:after="0"/>
            </w:pPr>
            <w:r/>
            <w:r>
              <w:rPr>
                <w:rFonts w:ascii="Calibri" w:hAnsi="Calibri"/>
                <w:b w:val="0"/>
                <w:sz w:val="18"/>
              </w:rPr>
              <w:t>Represents the business standing established by eligible cognitive records.</w:t>
            </w:r>
          </w:p>
        </w:tc>
      </w:tr>
      <w:tr>
        <w:tc>
          <w:tcPr>
            <w:tcW w:type="dxa" w:w="2088"/>
            <w:vAlign w:val="center"/>
            <w:tcMar>
              <w:top w:w="90" w:type="dxa"/>
              <w:start w:w="120" w:type="dxa"/>
              <w:bottom w:w="90" w:type="dxa"/>
              <w:end w:w="120" w:type="dxa"/>
            </w:tcMar>
            <w:shd w:fill="F8FAFC"/>
          </w:tcPr>
          <w:p>
            <w:pPr>
              <w:spacing w:after="0"/>
            </w:pPr>
            <w:r/>
            <w:r>
              <w:rPr>
                <w:rFonts w:ascii="Calibri" w:hAnsi="Calibri"/>
                <w:b w:val="0"/>
                <w:sz w:val="18"/>
              </w:rPr>
              <w:t>Runtime Plane</w:t>
            </w:r>
          </w:p>
        </w:tc>
        <w:tc>
          <w:tcPr>
            <w:tcW w:type="dxa" w:w="3528"/>
            <w:vAlign w:val="center"/>
            <w:tcMar>
              <w:top w:w="90" w:type="dxa"/>
              <w:start w:w="120" w:type="dxa"/>
              <w:bottom w:w="90" w:type="dxa"/>
              <w:end w:w="120" w:type="dxa"/>
            </w:tcMar>
            <w:shd w:fill="F8FAFC"/>
          </w:tcPr>
          <w:p>
            <w:pPr>
              <w:spacing w:after="0"/>
            </w:pPr>
            <w:r/>
            <w:r>
              <w:rPr>
                <w:rFonts w:ascii="Calibri" w:hAnsi="Calibri"/>
                <w:b w:val="0"/>
                <w:sz w:val="18"/>
              </w:rPr>
              <w:t>Invocation, orchestration, execution state, and runtime references governed by EIC/EOM/ESM</w:t>
            </w:r>
          </w:p>
        </w:tc>
        <w:tc>
          <w:tcPr>
            <w:tcW w:type="dxa" w:w="3744"/>
            <w:vAlign w:val="center"/>
            <w:tcMar>
              <w:top w:w="90" w:type="dxa"/>
              <w:start w:w="120" w:type="dxa"/>
              <w:bottom w:w="90" w:type="dxa"/>
              <w:end w:w="120" w:type="dxa"/>
            </w:tcMar>
            <w:shd w:fill="F8FAFC"/>
          </w:tcPr>
          <w:p>
            <w:pPr>
              <w:spacing w:after="0"/>
            </w:pPr>
            <w:r/>
            <w:r>
              <w:rPr>
                <w:rFonts w:ascii="Calibri" w:hAnsi="Calibri"/>
                <w:b w:val="0"/>
                <w:sz w:val="18"/>
              </w:rPr>
              <w:t>Executes cognition and exposes runtime observation; it carries no business meaning and creates no projection.</w:t>
            </w:r>
          </w:p>
        </w:tc>
      </w:tr>
    </w:tbl>
    <w:p>
      <w:pPr>
        <w:spacing w:after="20"/>
      </w:pPr>
    </w:p>
    <w:p>
      <w:pPr>
        <w:pStyle w:val="Heading1"/>
      </w:pPr>
      <w:r>
        <w:t>3. Definition of Canonical Projection</w:t>
      </w:r>
    </w:p>
    <w:p>
      <w:r>
        <w:t>Canonical Projection is the architecture rule by which an immutable cognitive record, when its authorized outcome and applicable effective/currentness conditions are satisfied, establishes or identifies the business outcome defined by its authoritative Business Capability Specification.</w:t>
      </w:r>
    </w:p>
    <w:p>
      <w:r>
        <w:t>The word canonical in this document means authoritative enterprise understanding for downstream consumption. It does not mean that the projected outcome becomes a Canonical Enterprise Ontology entity. RFC-010 remains unchanged: cognitive capabilities consume the CEO and never redefine it.</w:t>
      </w:r>
    </w:p>
    <w:p>
      <w:pPr>
        <w:pStyle w:val="Heading1"/>
      </w:pPr>
      <w:r>
        <w:t>4. Projection Principles</w:t>
      </w:r>
    </w:p>
    <w:tbl>
      <w:tblPr>
        <w:tblStyle w:val="TableGrid"/>
        <w:tblW w:type="auto" w:w="0"/>
        <w:tblLayout w:type="fixed"/>
        <w:tblLook w:firstColumn="1" w:firstRow="1" w:lastColumn="0" w:lastRow="0" w:noHBand="0" w:noVBand="1" w:val="04A0"/>
      </w:tblPr>
      <w:tblGrid>
        <w:gridCol w:w="1656"/>
        <w:gridCol w:w="7704"/>
      </w:tblGrid>
      <w:tr>
        <w:trPr>
          <w:tblHeader w:val="true"/>
        </w:trPr>
        <w:tc>
          <w:tcPr>
            <w:tcW w:type="dxa" w:w="4896"/>
            <w:vAlign w:val="center"/>
            <w:tcMar>
              <w:top w:w="90" w:type="dxa"/>
              <w:start w:w="120" w:type="dxa"/>
              <w:bottom w:w="90" w:type="dxa"/>
              <w:end w:w="120" w:type="dxa"/>
            </w:tcMar>
            <w:shd w:fill="2E74B5"/>
          </w:tcPr>
          <w:p>
            <w:pPr>
              <w:spacing w:after="0"/>
            </w:pPr>
            <w:r/>
            <w:r>
              <w:rPr>
                <w:rFonts w:ascii="Calibri" w:hAnsi="Calibri"/>
                <w:b/>
                <w:color w:val="FFFFFF"/>
                <w:sz w:val="18"/>
              </w:rPr>
              <w:t>ID</w:t>
            </w:r>
          </w:p>
        </w:tc>
        <w:tc>
          <w:tcPr>
            <w:tcW w:type="dxa" w:w="4896"/>
            <w:vAlign w:val="center"/>
            <w:tcMar>
              <w:top w:w="90" w:type="dxa"/>
              <w:start w:w="120" w:type="dxa"/>
              <w:bottom w:w="90" w:type="dxa"/>
              <w:end w:w="120" w:type="dxa"/>
            </w:tcMar>
            <w:shd w:fill="2E74B5"/>
          </w:tcPr>
          <w:p>
            <w:pPr>
              <w:spacing w:after="0"/>
            </w:pPr>
            <w:r/>
            <w:r>
              <w:rPr>
                <w:rFonts w:ascii="Calibri" w:hAnsi="Calibri"/>
                <w:b/>
                <w:color w:val="FFFFFF"/>
                <w:sz w:val="18"/>
              </w:rPr>
              <w:t>Principle</w:t>
            </w:r>
          </w:p>
        </w:tc>
      </w:tr>
      <w:tr>
        <w:tc>
          <w:tcPr>
            <w:tcW w:type="dxa" w:w="1656"/>
            <w:vAlign w:val="center"/>
            <w:tcMar>
              <w:top w:w="90" w:type="dxa"/>
              <w:start w:w="120" w:type="dxa"/>
              <w:bottom w:w="90" w:type="dxa"/>
              <w:end w:w="120" w:type="dxa"/>
            </w:tcMar>
          </w:tcPr>
          <w:p>
            <w:pPr>
              <w:spacing w:after="0"/>
            </w:pPr>
            <w:r/>
            <w:r>
              <w:rPr>
                <w:rFonts w:ascii="Calibri" w:hAnsi="Calibri"/>
                <w:b w:val="0"/>
                <w:sz w:val="18"/>
              </w:rPr>
              <w:t>CP-CAM-001</w:t>
            </w:r>
          </w:p>
        </w:tc>
        <w:tc>
          <w:tcPr>
            <w:tcW w:type="dxa" w:w="7704"/>
            <w:vAlign w:val="center"/>
            <w:tcMar>
              <w:top w:w="90" w:type="dxa"/>
              <w:start w:w="120" w:type="dxa"/>
              <w:bottom w:w="90" w:type="dxa"/>
              <w:end w:w="120" w:type="dxa"/>
            </w:tcMar>
          </w:tcPr>
          <w:p>
            <w:pPr>
              <w:spacing w:after="0"/>
            </w:pPr>
            <w:r/>
            <w:r>
              <w:rPr>
                <w:rFonts w:ascii="Calibri" w:hAnsi="Calibri"/>
                <w:b w:val="0"/>
                <w:sz w:val="18"/>
              </w:rPr>
              <w:t>A cognitive record and the business outcome it establishes are distinct architectural concepts.</w:t>
            </w:r>
          </w:p>
        </w:tc>
      </w:tr>
      <w:tr>
        <w:tc>
          <w:tcPr>
            <w:tcW w:type="dxa" w:w="1656"/>
            <w:vAlign w:val="center"/>
            <w:tcMar>
              <w:top w:w="90" w:type="dxa"/>
              <w:start w:w="120" w:type="dxa"/>
              <w:bottom w:w="90" w:type="dxa"/>
              <w:end w:w="120" w:type="dxa"/>
            </w:tcMar>
            <w:shd w:fill="F8FAFC"/>
          </w:tcPr>
          <w:p>
            <w:pPr>
              <w:spacing w:after="0"/>
            </w:pPr>
            <w:r/>
            <w:r>
              <w:rPr>
                <w:rFonts w:ascii="Calibri" w:hAnsi="Calibri"/>
                <w:b w:val="0"/>
                <w:sz w:val="18"/>
              </w:rPr>
              <w:t>CP-CAM-002</w:t>
            </w:r>
          </w:p>
        </w:tc>
        <w:tc>
          <w:tcPr>
            <w:tcW w:type="dxa" w:w="7704"/>
            <w:vAlign w:val="center"/>
            <w:tcMar>
              <w:top w:w="90" w:type="dxa"/>
              <w:start w:w="120" w:type="dxa"/>
              <w:bottom w:w="90" w:type="dxa"/>
              <w:end w:w="120" w:type="dxa"/>
            </w:tcMar>
            <w:shd w:fill="F8FAFC"/>
          </w:tcPr>
          <w:p>
            <w:pPr>
              <w:spacing w:after="0"/>
            </w:pPr>
            <w:r/>
            <w:r>
              <w:rPr>
                <w:rFonts w:ascii="Calibri" w:hAnsi="Calibri"/>
                <w:b w:val="0"/>
                <w:sz w:val="18"/>
              </w:rPr>
              <w:t>Projection never mutates, extends, or reclassifies the Canonical Enterprise Ontology.</w:t>
            </w:r>
          </w:p>
        </w:tc>
      </w:tr>
      <w:tr>
        <w:tc>
          <w:tcPr>
            <w:tcW w:type="dxa" w:w="1656"/>
            <w:vAlign w:val="center"/>
            <w:tcMar>
              <w:top w:w="90" w:type="dxa"/>
              <w:start w:w="120" w:type="dxa"/>
              <w:bottom w:w="90" w:type="dxa"/>
              <w:end w:w="120" w:type="dxa"/>
            </w:tcMar>
          </w:tcPr>
          <w:p>
            <w:pPr>
              <w:spacing w:after="0"/>
            </w:pPr>
            <w:r/>
            <w:r>
              <w:rPr>
                <w:rFonts w:ascii="Calibri" w:hAnsi="Calibri"/>
                <w:b w:val="0"/>
                <w:sz w:val="18"/>
              </w:rPr>
              <w:t>CP-CAM-003</w:t>
            </w:r>
          </w:p>
        </w:tc>
        <w:tc>
          <w:tcPr>
            <w:tcW w:type="dxa" w:w="7704"/>
            <w:vAlign w:val="center"/>
            <w:tcMar>
              <w:top w:w="90" w:type="dxa"/>
              <w:start w:w="120" w:type="dxa"/>
              <w:bottom w:w="90" w:type="dxa"/>
              <w:end w:w="120" w:type="dxa"/>
            </w:tcMar>
          </w:tcPr>
          <w:p>
            <w:pPr>
              <w:spacing w:after="0"/>
            </w:pPr>
            <w:r/>
            <w:r>
              <w:rPr>
                <w:rFonts w:ascii="Calibri" w:hAnsi="Calibri"/>
                <w:b w:val="0"/>
                <w:sz w:val="18"/>
              </w:rPr>
              <w:t>Only an outcome explicitly authorized by the governing BCS may establish a projected business outcome.</w:t>
            </w:r>
          </w:p>
        </w:tc>
      </w:tr>
      <w:tr>
        <w:tc>
          <w:tcPr>
            <w:tcW w:type="dxa" w:w="1656"/>
            <w:vAlign w:val="center"/>
            <w:tcMar>
              <w:top w:w="90" w:type="dxa"/>
              <w:start w:w="120" w:type="dxa"/>
              <w:bottom w:w="90" w:type="dxa"/>
              <w:end w:w="120" w:type="dxa"/>
            </w:tcMar>
            <w:shd w:fill="F8FAFC"/>
          </w:tcPr>
          <w:p>
            <w:pPr>
              <w:spacing w:after="0"/>
            </w:pPr>
            <w:r/>
            <w:r>
              <w:rPr>
                <w:rFonts w:ascii="Calibri" w:hAnsi="Calibri"/>
                <w:b w:val="0"/>
                <w:sz w:val="18"/>
              </w:rPr>
              <w:t>CP-CAM-004</w:t>
            </w:r>
          </w:p>
        </w:tc>
        <w:tc>
          <w:tcPr>
            <w:tcW w:type="dxa" w:w="7704"/>
            <w:vAlign w:val="center"/>
            <w:tcMar>
              <w:top w:w="90" w:type="dxa"/>
              <w:start w:w="120" w:type="dxa"/>
              <w:bottom w:w="90" w:type="dxa"/>
              <w:end w:w="120" w:type="dxa"/>
            </w:tcMar>
            <w:shd w:fill="F8FAFC"/>
          </w:tcPr>
          <w:p>
            <w:pPr>
              <w:spacing w:after="0"/>
            </w:pPr>
            <w:r/>
            <w:r>
              <w:rPr>
                <w:rFonts w:ascii="Calibri" w:hAnsi="Calibri"/>
                <w:b w:val="0"/>
                <w:sz w:val="18"/>
              </w:rPr>
              <w:t>Candidate, rejected, non-compliant, and review-required records remain historical understanding unless their governing BCS explicitly establishes an outcome.</w:t>
            </w:r>
          </w:p>
        </w:tc>
      </w:tr>
      <w:tr>
        <w:tc>
          <w:tcPr>
            <w:tcW w:type="dxa" w:w="1656"/>
            <w:vAlign w:val="center"/>
            <w:tcMar>
              <w:top w:w="90" w:type="dxa"/>
              <w:start w:w="120" w:type="dxa"/>
              <w:bottom w:w="90" w:type="dxa"/>
              <w:end w:w="120" w:type="dxa"/>
            </w:tcMar>
          </w:tcPr>
          <w:p>
            <w:pPr>
              <w:spacing w:after="0"/>
            </w:pPr>
            <w:r/>
            <w:r>
              <w:rPr>
                <w:rFonts w:ascii="Calibri" w:hAnsi="Calibri"/>
                <w:b w:val="0"/>
                <w:sz w:val="18"/>
              </w:rPr>
              <w:t>CP-CAM-005</w:t>
            </w:r>
          </w:p>
        </w:tc>
        <w:tc>
          <w:tcPr>
            <w:tcW w:type="dxa" w:w="7704"/>
            <w:vAlign w:val="center"/>
            <w:tcMar>
              <w:top w:w="90" w:type="dxa"/>
              <w:start w:w="120" w:type="dxa"/>
              <w:bottom w:w="90" w:type="dxa"/>
              <w:end w:w="120" w:type="dxa"/>
            </w:tcMar>
          </w:tcPr>
          <w:p>
            <w:pPr>
              <w:spacing w:after="0"/>
            </w:pPr>
            <w:r/>
            <w:r>
              <w:rPr>
                <w:rFonts w:ascii="Calibri" w:hAnsi="Calibri"/>
                <w:b w:val="0"/>
                <w:sz w:val="18"/>
              </w:rPr>
              <w:t>Projection never deletes, updates, or replaces an immutable cognitive record.</w:t>
            </w:r>
          </w:p>
        </w:tc>
      </w:tr>
      <w:tr>
        <w:tc>
          <w:tcPr>
            <w:tcW w:type="dxa" w:w="1656"/>
            <w:vAlign w:val="center"/>
            <w:tcMar>
              <w:top w:w="90" w:type="dxa"/>
              <w:start w:w="120" w:type="dxa"/>
              <w:bottom w:w="90" w:type="dxa"/>
              <w:end w:w="120" w:type="dxa"/>
            </w:tcMar>
            <w:shd w:fill="F8FAFC"/>
          </w:tcPr>
          <w:p>
            <w:pPr>
              <w:spacing w:after="0"/>
            </w:pPr>
            <w:r/>
            <w:r>
              <w:rPr>
                <w:rFonts w:ascii="Calibri" w:hAnsi="Calibri"/>
                <w:b w:val="0"/>
                <w:sz w:val="18"/>
              </w:rPr>
              <w:t>CP-CAM-006</w:t>
            </w:r>
          </w:p>
        </w:tc>
        <w:tc>
          <w:tcPr>
            <w:tcW w:type="dxa" w:w="7704"/>
            <w:vAlign w:val="center"/>
            <w:tcMar>
              <w:top w:w="90" w:type="dxa"/>
              <w:start w:w="120" w:type="dxa"/>
              <w:bottom w:w="90" w:type="dxa"/>
              <w:end w:w="120" w:type="dxa"/>
            </w:tcMar>
            <w:shd w:fill="F8FAFC"/>
          </w:tcPr>
          <w:p>
            <w:pPr>
              <w:spacing w:after="0"/>
            </w:pPr>
            <w:r/>
            <w:r>
              <w:rPr>
                <w:rFonts w:ascii="Calibri" w:hAnsi="Calibri"/>
                <w:b w:val="0"/>
                <w:sz w:val="18"/>
              </w:rPr>
              <w:t>Currentness is determined outside immutable records in accordance with RFC-011.</w:t>
            </w:r>
          </w:p>
        </w:tc>
      </w:tr>
      <w:tr>
        <w:tc>
          <w:tcPr>
            <w:tcW w:type="dxa" w:w="1656"/>
            <w:vAlign w:val="center"/>
            <w:tcMar>
              <w:top w:w="90" w:type="dxa"/>
              <w:start w:w="120" w:type="dxa"/>
              <w:bottom w:w="90" w:type="dxa"/>
              <w:end w:w="120" w:type="dxa"/>
            </w:tcMar>
          </w:tcPr>
          <w:p>
            <w:pPr>
              <w:spacing w:after="0"/>
            </w:pPr>
            <w:r/>
            <w:r>
              <w:rPr>
                <w:rFonts w:ascii="Calibri" w:hAnsi="Calibri"/>
                <w:b w:val="0"/>
                <w:sz w:val="18"/>
              </w:rPr>
              <w:t>CP-CAM-007</w:t>
            </w:r>
          </w:p>
        </w:tc>
        <w:tc>
          <w:tcPr>
            <w:tcW w:type="dxa" w:w="7704"/>
            <w:vAlign w:val="center"/>
            <w:tcMar>
              <w:top w:w="90" w:type="dxa"/>
              <w:start w:w="120" w:type="dxa"/>
              <w:bottom w:w="90" w:type="dxa"/>
              <w:end w:w="120" w:type="dxa"/>
            </w:tcMar>
          </w:tcPr>
          <w:p>
            <w:pPr>
              <w:spacing w:after="0"/>
            </w:pPr>
            <w:r/>
            <w:r>
              <w:rPr>
                <w:rFonts w:ascii="Calibri" w:hAnsi="Calibri"/>
                <w:b w:val="0"/>
                <w:sz w:val="18"/>
              </w:rPr>
              <w:t>A projected outcome retains traceability to the immutable record and that record’s authorized upstream provenance.</w:t>
            </w:r>
          </w:p>
        </w:tc>
      </w:tr>
      <w:tr>
        <w:tc>
          <w:tcPr>
            <w:tcW w:type="dxa" w:w="1656"/>
            <w:vAlign w:val="center"/>
            <w:tcMar>
              <w:top w:w="90" w:type="dxa"/>
              <w:start w:w="120" w:type="dxa"/>
              <w:bottom w:w="90" w:type="dxa"/>
              <w:end w:w="120" w:type="dxa"/>
            </w:tcMar>
            <w:shd w:fill="F8FAFC"/>
          </w:tcPr>
          <w:p>
            <w:pPr>
              <w:spacing w:after="0"/>
            </w:pPr>
            <w:r/>
            <w:r>
              <w:rPr>
                <w:rFonts w:ascii="Calibri" w:hAnsi="Calibri"/>
                <w:b w:val="0"/>
                <w:sz w:val="18"/>
              </w:rPr>
              <w:t>CP-CAM-008</w:t>
            </w:r>
          </w:p>
        </w:tc>
        <w:tc>
          <w:tcPr>
            <w:tcW w:type="dxa" w:w="7704"/>
            <w:vAlign w:val="center"/>
            <w:tcMar>
              <w:top w:w="90" w:type="dxa"/>
              <w:start w:w="120" w:type="dxa"/>
              <w:bottom w:w="90" w:type="dxa"/>
              <w:end w:w="120" w:type="dxa"/>
            </w:tcMar>
            <w:shd w:fill="F8FAFC"/>
          </w:tcPr>
          <w:p>
            <w:pPr>
              <w:spacing w:after="0"/>
            </w:pPr>
            <w:r/>
            <w:r>
              <w:rPr>
                <w:rFonts w:ascii="Calibri" w:hAnsi="Calibri"/>
                <w:b w:val="0"/>
                <w:sz w:val="18"/>
              </w:rPr>
              <w:t>Runtime completion does not establish business standing. Business standing is determined only by the governing BCS outcome rules.</w:t>
            </w:r>
          </w:p>
        </w:tc>
      </w:tr>
    </w:tbl>
    <w:p>
      <w:pPr>
        <w:spacing w:after="20"/>
      </w:pPr>
    </w:p>
    <w:p>
      <w:pPr>
        <w:pStyle w:val="Heading1"/>
      </w:pPr>
      <w:r>
        <w:t>5. Authoritative Projection Mapping</w:t>
      </w:r>
    </w:p>
    <w:tbl>
      <w:tblPr>
        <w:tblStyle w:val="TableGrid"/>
        <w:tblW w:type="auto" w:w="0"/>
        <w:tblLayout w:type="fixed"/>
        <w:tblLook w:firstColumn="1" w:firstRow="1" w:lastColumn="0" w:lastRow="0" w:noHBand="0" w:noVBand="1" w:val="04A0"/>
      </w:tblPr>
      <w:tblGrid>
        <w:gridCol w:w="1728"/>
        <w:gridCol w:w="2304"/>
        <w:gridCol w:w="1800"/>
        <w:gridCol w:w="3528"/>
      </w:tblGrid>
      <w:tr>
        <w:trPr>
          <w:tblHeader w:val="true"/>
        </w:trPr>
        <w:tc>
          <w:tcPr>
            <w:tcW w:type="dxa" w:w="2448"/>
            <w:vAlign w:val="center"/>
            <w:tcMar>
              <w:top w:w="90" w:type="dxa"/>
              <w:start w:w="120" w:type="dxa"/>
              <w:bottom w:w="90" w:type="dxa"/>
              <w:end w:w="120" w:type="dxa"/>
            </w:tcMar>
            <w:shd w:fill="2E74B5"/>
          </w:tcPr>
          <w:p>
            <w:pPr>
              <w:spacing w:after="0"/>
            </w:pPr>
            <w:r/>
            <w:r>
              <w:rPr>
                <w:rFonts w:ascii="Calibri" w:hAnsi="Calibri"/>
                <w:b/>
                <w:color w:val="FFFFFF"/>
                <w:sz w:val="18"/>
              </w:rPr>
              <w:t>Capability</w:t>
            </w:r>
          </w:p>
        </w:tc>
        <w:tc>
          <w:tcPr>
            <w:tcW w:type="dxa" w:w="2448"/>
            <w:vAlign w:val="center"/>
            <w:tcMar>
              <w:top w:w="90" w:type="dxa"/>
              <w:start w:w="120" w:type="dxa"/>
              <w:bottom w:w="90" w:type="dxa"/>
              <w:end w:w="120" w:type="dxa"/>
            </w:tcMar>
            <w:shd w:fill="2E74B5"/>
          </w:tcPr>
          <w:p>
            <w:pPr>
              <w:spacing w:after="0"/>
            </w:pPr>
            <w:r/>
            <w:r>
              <w:rPr>
                <w:rFonts w:ascii="Calibri" w:hAnsi="Calibri"/>
                <w:b/>
                <w:color w:val="FFFFFF"/>
                <w:sz w:val="18"/>
              </w:rPr>
              <w:t>Immutable record</w:t>
            </w:r>
          </w:p>
        </w:tc>
        <w:tc>
          <w:tcPr>
            <w:tcW w:type="dxa" w:w="2448"/>
            <w:vAlign w:val="center"/>
            <w:tcMar>
              <w:top w:w="90" w:type="dxa"/>
              <w:start w:w="120" w:type="dxa"/>
              <w:bottom w:w="90" w:type="dxa"/>
              <w:end w:w="120" w:type="dxa"/>
            </w:tcMar>
            <w:shd w:fill="2E74B5"/>
          </w:tcPr>
          <w:p>
            <w:pPr>
              <w:spacing w:after="0"/>
            </w:pPr>
            <w:r/>
            <w:r>
              <w:rPr>
                <w:rFonts w:ascii="Calibri" w:hAnsi="Calibri"/>
                <w:b/>
                <w:color w:val="FFFFFF"/>
                <w:sz w:val="18"/>
              </w:rPr>
              <w:t>Qualifying outcome</w:t>
            </w:r>
          </w:p>
        </w:tc>
        <w:tc>
          <w:tcPr>
            <w:tcW w:type="dxa" w:w="2448"/>
            <w:vAlign w:val="center"/>
            <w:tcMar>
              <w:top w:w="90" w:type="dxa"/>
              <w:start w:w="120" w:type="dxa"/>
              <w:bottom w:w="90" w:type="dxa"/>
              <w:end w:w="120" w:type="dxa"/>
            </w:tcMar>
            <w:shd w:fill="2E74B5"/>
          </w:tcPr>
          <w:p>
            <w:pPr>
              <w:spacing w:after="0"/>
            </w:pPr>
            <w:r/>
            <w:r>
              <w:rPr>
                <w:rFonts w:ascii="Calibri" w:hAnsi="Calibri"/>
                <w:b/>
                <w:color w:val="FFFFFF"/>
                <w:sz w:val="18"/>
              </w:rPr>
              <w:t>Projected business standing</w:t>
            </w:r>
          </w:p>
        </w:tc>
      </w:tr>
      <w:tr>
        <w:tc>
          <w:tcPr>
            <w:tcW w:type="dxa" w:w="1728"/>
            <w:vAlign w:val="center"/>
            <w:tcMar>
              <w:top w:w="90" w:type="dxa"/>
              <w:start w:w="120" w:type="dxa"/>
              <w:bottom w:w="90" w:type="dxa"/>
              <w:end w:w="120" w:type="dxa"/>
            </w:tcMar>
          </w:tcPr>
          <w:p>
            <w:pPr>
              <w:spacing w:after="0"/>
            </w:pPr>
            <w:r/>
            <w:r>
              <w:rPr>
                <w:rFonts w:ascii="Calibri" w:hAnsi="Calibri"/>
                <w:b w:val="0"/>
                <w:sz w:val="18"/>
              </w:rPr>
              <w:t>Enterprise Entity Resolution</w:t>
            </w:r>
          </w:p>
        </w:tc>
        <w:tc>
          <w:tcPr>
            <w:tcW w:type="dxa" w:w="2304"/>
            <w:vAlign w:val="center"/>
            <w:tcMar>
              <w:top w:w="90" w:type="dxa"/>
              <w:start w:w="120" w:type="dxa"/>
              <w:bottom w:w="90" w:type="dxa"/>
              <w:end w:w="120" w:type="dxa"/>
            </w:tcMar>
          </w:tcPr>
          <w:p>
            <w:pPr>
              <w:spacing w:after="0"/>
            </w:pPr>
            <w:r/>
            <w:r>
              <w:rPr>
                <w:rFonts w:ascii="Calibri" w:hAnsi="Calibri"/>
                <w:b w:val="0"/>
                <w:sz w:val="18"/>
              </w:rPr>
              <w:t>Enterprise Entity Resolution Record</w:t>
            </w:r>
          </w:p>
        </w:tc>
        <w:tc>
          <w:tcPr>
            <w:tcW w:type="dxa" w:w="1800"/>
            <w:vAlign w:val="center"/>
            <w:tcMar>
              <w:top w:w="90" w:type="dxa"/>
              <w:start w:w="120" w:type="dxa"/>
              <w:bottom w:w="90" w:type="dxa"/>
              <w:end w:w="120" w:type="dxa"/>
            </w:tcMar>
          </w:tcPr>
          <w:p>
            <w:pPr>
              <w:spacing w:after="0"/>
            </w:pPr>
            <w:r/>
            <w:r>
              <w:rPr>
                <w:rFonts w:ascii="Calibri" w:hAnsi="Calibri"/>
                <w:b w:val="0"/>
                <w:sz w:val="18"/>
              </w:rPr>
              <w:t>Resolved, as defined by ERM-001</w:t>
            </w:r>
          </w:p>
        </w:tc>
        <w:tc>
          <w:tcPr>
            <w:tcW w:type="dxa" w:w="3528"/>
            <w:vAlign w:val="center"/>
            <w:tcMar>
              <w:top w:w="90" w:type="dxa"/>
              <w:start w:w="120" w:type="dxa"/>
              <w:bottom w:w="90" w:type="dxa"/>
              <w:end w:w="120" w:type="dxa"/>
            </w:tcMar>
          </w:tcPr>
          <w:p>
            <w:pPr>
              <w:spacing w:after="0"/>
            </w:pPr>
            <w:r/>
            <w:r>
              <w:rPr>
                <w:rFonts w:ascii="Calibri" w:hAnsi="Calibri"/>
                <w:b w:val="0"/>
                <w:sz w:val="18"/>
              </w:rPr>
              <w:t>Establishes which existing Enterprise Entity the Source Object represents. It does not create or modify the Enterprise Entity.</w:t>
            </w:r>
          </w:p>
        </w:tc>
      </w:tr>
      <w:tr>
        <w:tc>
          <w:tcPr>
            <w:tcW w:type="dxa" w:w="1728"/>
            <w:vAlign w:val="center"/>
            <w:tcMar>
              <w:top w:w="90" w:type="dxa"/>
              <w:start w:w="120" w:type="dxa"/>
              <w:bottom w:w="90" w:type="dxa"/>
              <w:end w:w="120" w:type="dxa"/>
            </w:tcMar>
            <w:shd w:fill="F8FAFC"/>
          </w:tcPr>
          <w:p>
            <w:pPr>
              <w:spacing w:after="0"/>
            </w:pPr>
            <w:r/>
            <w:r>
              <w:rPr>
                <w:rFonts w:ascii="Calibri" w:hAnsi="Calibri"/>
                <w:b w:val="0"/>
                <w:sz w:val="18"/>
              </w:rPr>
              <w:t>Semantic Resolution</w:t>
            </w:r>
          </w:p>
        </w:tc>
        <w:tc>
          <w:tcPr>
            <w:tcW w:type="dxa" w:w="2304"/>
            <w:vAlign w:val="center"/>
            <w:tcMar>
              <w:top w:w="90" w:type="dxa"/>
              <w:start w:w="120" w:type="dxa"/>
              <w:bottom w:w="90" w:type="dxa"/>
              <w:end w:w="120" w:type="dxa"/>
            </w:tcMar>
            <w:shd w:fill="F8FAFC"/>
          </w:tcPr>
          <w:p>
            <w:pPr>
              <w:spacing w:after="0"/>
            </w:pPr>
            <w:r/>
            <w:r>
              <w:rPr>
                <w:rFonts w:ascii="Calibri" w:hAnsi="Calibri"/>
                <w:b w:val="0"/>
                <w:sz w:val="18"/>
              </w:rPr>
              <w:t>Semantic Resolution Record</w:t>
            </w:r>
          </w:p>
        </w:tc>
        <w:tc>
          <w:tcPr>
            <w:tcW w:type="dxa" w:w="1800"/>
            <w:vAlign w:val="center"/>
            <w:tcMar>
              <w:top w:w="90" w:type="dxa"/>
              <w:start w:w="120" w:type="dxa"/>
              <w:bottom w:w="90" w:type="dxa"/>
              <w:end w:w="120" w:type="dxa"/>
            </w:tcMar>
            <w:shd w:fill="F8FAFC"/>
          </w:tcPr>
          <w:p>
            <w:pPr>
              <w:spacing w:after="0"/>
            </w:pPr>
            <w:r/>
            <w:r>
              <w:rPr>
                <w:rFonts w:ascii="Calibri" w:hAnsi="Calibri"/>
                <w:b w:val="0"/>
                <w:sz w:val="18"/>
              </w:rPr>
              <w:t>Resolved, as defined by SRM-001</w:t>
            </w:r>
          </w:p>
        </w:tc>
        <w:tc>
          <w:tcPr>
            <w:tcW w:type="dxa" w:w="3528"/>
            <w:vAlign w:val="center"/>
            <w:tcMar>
              <w:top w:w="90" w:type="dxa"/>
              <w:start w:w="120" w:type="dxa"/>
              <w:bottom w:w="90" w:type="dxa"/>
              <w:end w:w="120" w:type="dxa"/>
            </w:tcMar>
            <w:shd w:fill="F8FAFC"/>
          </w:tcPr>
          <w:p>
            <w:pPr>
              <w:spacing w:after="0"/>
            </w:pPr>
            <w:r/>
            <w:r>
              <w:rPr>
                <w:rFonts w:ascii="Calibri" w:hAnsi="Calibri"/>
                <w:b w:val="0"/>
                <w:sz w:val="18"/>
              </w:rPr>
              <w:t>Establishes the selected semantic interpretation referencing an existing Institutional Concept. It does not create or modify the concept.</w:t>
            </w:r>
          </w:p>
        </w:tc>
      </w:tr>
      <w:tr>
        <w:tc>
          <w:tcPr>
            <w:tcW w:type="dxa" w:w="1728"/>
            <w:vAlign w:val="center"/>
            <w:tcMar>
              <w:top w:w="90" w:type="dxa"/>
              <w:start w:w="120" w:type="dxa"/>
              <w:bottom w:w="90" w:type="dxa"/>
              <w:end w:w="120" w:type="dxa"/>
            </w:tcMar>
          </w:tcPr>
          <w:p>
            <w:pPr>
              <w:spacing w:after="0"/>
            </w:pPr>
            <w:r/>
            <w:r>
              <w:rPr>
                <w:rFonts w:ascii="Calibri" w:hAnsi="Calibri"/>
                <w:b w:val="0"/>
                <w:sz w:val="18"/>
              </w:rPr>
              <w:t>Assertion</w:t>
            </w:r>
          </w:p>
        </w:tc>
        <w:tc>
          <w:tcPr>
            <w:tcW w:type="dxa" w:w="2304"/>
            <w:vAlign w:val="center"/>
            <w:tcMar>
              <w:top w:w="90" w:type="dxa"/>
              <w:start w:w="120" w:type="dxa"/>
              <w:bottom w:w="90" w:type="dxa"/>
              <w:end w:w="120" w:type="dxa"/>
            </w:tcMar>
          </w:tcPr>
          <w:p>
            <w:pPr>
              <w:spacing w:after="0"/>
            </w:pPr>
            <w:r/>
            <w:r>
              <w:rPr>
                <w:rFonts w:ascii="Calibri" w:hAnsi="Calibri"/>
                <w:b w:val="0"/>
                <w:sz w:val="18"/>
              </w:rPr>
              <w:t>Assertion Record</w:t>
            </w:r>
          </w:p>
        </w:tc>
        <w:tc>
          <w:tcPr>
            <w:tcW w:type="dxa" w:w="1800"/>
            <w:vAlign w:val="center"/>
            <w:tcMar>
              <w:top w:w="90" w:type="dxa"/>
              <w:start w:w="120" w:type="dxa"/>
              <w:bottom w:w="90" w:type="dxa"/>
              <w:end w:w="120" w:type="dxa"/>
            </w:tcMar>
          </w:tcPr>
          <w:p>
            <w:pPr>
              <w:spacing w:after="0"/>
            </w:pPr>
            <w:r/>
            <w:r>
              <w:rPr>
                <w:rFonts w:ascii="Calibri" w:hAnsi="Calibri"/>
                <w:b w:val="0"/>
                <w:sz w:val="18"/>
              </w:rPr>
              <w:t>Established</w:t>
            </w:r>
          </w:p>
        </w:tc>
        <w:tc>
          <w:tcPr>
            <w:tcW w:type="dxa" w:w="3528"/>
            <w:vAlign w:val="center"/>
            <w:tcMar>
              <w:top w:w="90" w:type="dxa"/>
              <w:start w:w="120" w:type="dxa"/>
              <w:bottom w:w="90" w:type="dxa"/>
              <w:end w:w="120" w:type="dxa"/>
            </w:tcMar>
          </w:tcPr>
          <w:p>
            <w:pPr>
              <w:spacing w:after="0"/>
            </w:pPr>
            <w:r/>
            <w:r>
              <w:rPr>
                <w:rFonts w:ascii="Calibri" w:hAnsi="Calibri"/>
                <w:b w:val="0"/>
                <w:sz w:val="18"/>
              </w:rPr>
              <w:t>Establishes the governed Assertion proposition represented by that record. Candidate and Rejected records establish no accepted assertion standing.</w:t>
            </w:r>
          </w:p>
        </w:tc>
      </w:tr>
      <w:tr>
        <w:tc>
          <w:tcPr>
            <w:tcW w:type="dxa" w:w="1728"/>
            <w:vAlign w:val="center"/>
            <w:tcMar>
              <w:top w:w="90" w:type="dxa"/>
              <w:start w:w="120" w:type="dxa"/>
              <w:bottom w:w="90" w:type="dxa"/>
              <w:end w:w="120" w:type="dxa"/>
            </w:tcMar>
            <w:shd w:fill="F8FAFC"/>
          </w:tcPr>
          <w:p>
            <w:pPr>
              <w:spacing w:after="0"/>
            </w:pPr>
            <w:r/>
            <w:r>
              <w:rPr>
                <w:rFonts w:ascii="Calibri" w:hAnsi="Calibri"/>
                <w:b w:val="0"/>
                <w:sz w:val="18"/>
              </w:rPr>
              <w:t>Knowledge</w:t>
            </w:r>
          </w:p>
        </w:tc>
        <w:tc>
          <w:tcPr>
            <w:tcW w:type="dxa" w:w="2304"/>
            <w:vAlign w:val="center"/>
            <w:tcMar>
              <w:top w:w="90" w:type="dxa"/>
              <w:start w:w="120" w:type="dxa"/>
              <w:bottom w:w="90" w:type="dxa"/>
              <w:end w:w="120" w:type="dxa"/>
            </w:tcMar>
            <w:shd w:fill="F8FAFC"/>
          </w:tcPr>
          <w:p>
            <w:pPr>
              <w:spacing w:after="0"/>
            </w:pPr>
            <w:r/>
            <w:r>
              <w:rPr>
                <w:rFonts w:ascii="Calibri" w:hAnsi="Calibri"/>
                <w:b w:val="0"/>
                <w:sz w:val="18"/>
              </w:rPr>
              <w:t>Knowledge Evaluation Record</w:t>
            </w:r>
          </w:p>
        </w:tc>
        <w:tc>
          <w:tcPr>
            <w:tcW w:type="dxa" w:w="1800"/>
            <w:vAlign w:val="center"/>
            <w:tcMar>
              <w:top w:w="90" w:type="dxa"/>
              <w:start w:w="120" w:type="dxa"/>
              <w:bottom w:w="90" w:type="dxa"/>
              <w:end w:w="120" w:type="dxa"/>
            </w:tcMar>
            <w:shd w:fill="F8FAFC"/>
          </w:tcPr>
          <w:p>
            <w:pPr>
              <w:spacing w:after="0"/>
            </w:pPr>
            <w:r/>
            <w:r>
              <w:rPr>
                <w:rFonts w:ascii="Calibri" w:hAnsi="Calibri"/>
                <w:b w:val="0"/>
                <w:sz w:val="18"/>
              </w:rPr>
              <w:t>Institutionalized</w:t>
            </w:r>
          </w:p>
        </w:tc>
        <w:tc>
          <w:tcPr>
            <w:tcW w:type="dxa" w:w="3528"/>
            <w:vAlign w:val="center"/>
            <w:tcMar>
              <w:top w:w="90" w:type="dxa"/>
              <w:start w:w="120" w:type="dxa"/>
              <w:bottom w:w="90" w:type="dxa"/>
              <w:end w:w="120" w:type="dxa"/>
            </w:tcMar>
            <w:shd w:fill="F8FAFC"/>
          </w:tcPr>
          <w:p>
            <w:pPr>
              <w:spacing w:after="0"/>
            </w:pPr>
            <w:r/>
            <w:r>
              <w:rPr>
                <w:rFonts w:ascii="Calibri" w:hAnsi="Calibri"/>
                <w:b w:val="0"/>
                <w:sz w:val="18"/>
              </w:rPr>
              <w:t>Establishes Institutional Knowledge. Candidate and Rejected evaluations do not establish Institutional Knowledge.</w:t>
            </w:r>
          </w:p>
        </w:tc>
      </w:tr>
      <w:tr>
        <w:tc>
          <w:tcPr>
            <w:tcW w:type="dxa" w:w="1728"/>
            <w:vAlign w:val="center"/>
            <w:tcMar>
              <w:top w:w="90" w:type="dxa"/>
              <w:start w:w="120" w:type="dxa"/>
              <w:bottom w:w="90" w:type="dxa"/>
              <w:end w:w="120" w:type="dxa"/>
            </w:tcMar>
          </w:tcPr>
          <w:p>
            <w:pPr>
              <w:spacing w:after="0"/>
            </w:pPr>
            <w:r/>
            <w:r>
              <w:rPr>
                <w:rFonts w:ascii="Calibri" w:hAnsi="Calibri"/>
                <w:b w:val="0"/>
                <w:sz w:val="18"/>
              </w:rPr>
              <w:t>Decision</w:t>
            </w:r>
          </w:p>
        </w:tc>
        <w:tc>
          <w:tcPr>
            <w:tcW w:type="dxa" w:w="2304"/>
            <w:vAlign w:val="center"/>
            <w:tcMar>
              <w:top w:w="90" w:type="dxa"/>
              <w:start w:w="120" w:type="dxa"/>
              <w:bottom w:w="90" w:type="dxa"/>
              <w:end w:w="120" w:type="dxa"/>
            </w:tcMar>
          </w:tcPr>
          <w:p>
            <w:pPr>
              <w:spacing w:after="0"/>
            </w:pPr>
            <w:r/>
            <w:r>
              <w:rPr>
                <w:rFonts w:ascii="Calibri" w:hAnsi="Calibri"/>
                <w:b w:val="0"/>
                <w:sz w:val="18"/>
              </w:rPr>
              <w:t>Decision Evaluation Record</w:t>
            </w:r>
          </w:p>
        </w:tc>
        <w:tc>
          <w:tcPr>
            <w:tcW w:type="dxa" w:w="1800"/>
            <w:vAlign w:val="center"/>
            <w:tcMar>
              <w:top w:w="90" w:type="dxa"/>
              <w:start w:w="120" w:type="dxa"/>
              <w:bottom w:w="90" w:type="dxa"/>
              <w:end w:w="120" w:type="dxa"/>
            </w:tcMar>
          </w:tcPr>
          <w:p>
            <w:pPr>
              <w:spacing w:after="0"/>
            </w:pPr>
            <w:r/>
            <w:r>
              <w:rPr>
                <w:rFonts w:ascii="Calibri" w:hAnsi="Calibri"/>
                <w:b w:val="0"/>
                <w:sz w:val="18"/>
              </w:rPr>
              <w:t>Recommended</w:t>
            </w:r>
          </w:p>
        </w:tc>
        <w:tc>
          <w:tcPr>
            <w:tcW w:type="dxa" w:w="3528"/>
            <w:vAlign w:val="center"/>
            <w:tcMar>
              <w:top w:w="90" w:type="dxa"/>
              <w:start w:w="120" w:type="dxa"/>
              <w:bottom w:w="90" w:type="dxa"/>
              <w:end w:w="120" w:type="dxa"/>
            </w:tcMar>
          </w:tcPr>
          <w:p>
            <w:pPr>
              <w:spacing w:after="0"/>
            </w:pPr>
            <w:r/>
            <w:r>
              <w:rPr>
                <w:rFonts w:ascii="Calibri" w:hAnsi="Calibri"/>
                <w:b w:val="0"/>
                <w:sz w:val="18"/>
              </w:rPr>
              <w:t>Establishes an Enterprise Decision as a policy-evaluated business recommendation. Candidate and Rejected evaluations do not establish an Enterprise Decision.</w:t>
            </w:r>
          </w:p>
        </w:tc>
      </w:tr>
      <w:tr>
        <w:tc>
          <w:tcPr>
            <w:tcW w:type="dxa" w:w="1728"/>
            <w:vAlign w:val="center"/>
            <w:tcMar>
              <w:top w:w="90" w:type="dxa"/>
              <w:start w:w="120" w:type="dxa"/>
              <w:bottom w:w="90" w:type="dxa"/>
              <w:end w:w="120" w:type="dxa"/>
            </w:tcMar>
            <w:shd w:fill="F8FAFC"/>
          </w:tcPr>
          <w:p>
            <w:pPr>
              <w:spacing w:after="0"/>
            </w:pPr>
            <w:r/>
            <w:r>
              <w:rPr>
                <w:rFonts w:ascii="Calibri" w:hAnsi="Calibri"/>
                <w:b w:val="0"/>
                <w:sz w:val="18"/>
              </w:rPr>
              <w:t>Governance</w:t>
            </w:r>
          </w:p>
        </w:tc>
        <w:tc>
          <w:tcPr>
            <w:tcW w:type="dxa" w:w="2304"/>
            <w:vAlign w:val="center"/>
            <w:tcMar>
              <w:top w:w="90" w:type="dxa"/>
              <w:start w:w="120" w:type="dxa"/>
              <w:bottom w:w="90" w:type="dxa"/>
              <w:end w:w="120" w:type="dxa"/>
            </w:tcMar>
            <w:shd w:fill="F8FAFC"/>
          </w:tcPr>
          <w:p>
            <w:pPr>
              <w:spacing w:after="0"/>
            </w:pPr>
            <w:r/>
            <w:r>
              <w:rPr>
                <w:rFonts w:ascii="Calibri" w:hAnsi="Calibri"/>
                <w:b w:val="0"/>
                <w:sz w:val="18"/>
              </w:rPr>
              <w:t>Governance Evaluation Record</w:t>
            </w:r>
          </w:p>
        </w:tc>
        <w:tc>
          <w:tcPr>
            <w:tcW w:type="dxa" w:w="1800"/>
            <w:vAlign w:val="center"/>
            <w:tcMar>
              <w:top w:w="90" w:type="dxa"/>
              <w:start w:w="120" w:type="dxa"/>
              <w:bottom w:w="90" w:type="dxa"/>
              <w:end w:w="120" w:type="dxa"/>
            </w:tcMar>
            <w:shd w:fill="F8FAFC"/>
          </w:tcPr>
          <w:p>
            <w:pPr>
              <w:spacing w:after="0"/>
            </w:pPr>
            <w:r/>
            <w:r>
              <w:rPr>
                <w:rFonts w:ascii="Calibri" w:hAnsi="Calibri"/>
                <w:b w:val="0"/>
                <w:sz w:val="18"/>
              </w:rPr>
              <w:t>Compliant, Non-Compliant, Exception Granted, or Requires Review</w:t>
            </w:r>
          </w:p>
        </w:tc>
        <w:tc>
          <w:tcPr>
            <w:tcW w:type="dxa" w:w="3528"/>
            <w:vAlign w:val="center"/>
            <w:tcMar>
              <w:top w:w="90" w:type="dxa"/>
              <w:start w:w="120" w:type="dxa"/>
              <w:bottom w:w="90" w:type="dxa"/>
              <w:end w:w="120" w:type="dxa"/>
            </w:tcMar>
            <w:shd w:fill="F8FAFC"/>
          </w:tcPr>
          <w:p>
            <w:pPr>
              <w:spacing w:after="0"/>
            </w:pPr>
            <w:r/>
            <w:r>
              <w:rPr>
                <w:rFonts w:ascii="Calibri" w:hAnsi="Calibri"/>
                <w:b w:val="0"/>
                <w:sz w:val="18"/>
              </w:rPr>
              <w:t>Every Governance Evaluation establishes exactly one outcome-neutral Governance Attestation reflecting the recorded outcome. The attestation is not an independently persisted business artifact.</w:t>
            </w:r>
          </w:p>
        </w:tc>
      </w:tr>
      <w:tr>
        <w:tc>
          <w:tcPr>
            <w:tcW w:type="dxa" w:w="1728"/>
            <w:vAlign w:val="center"/>
            <w:tcMar>
              <w:top w:w="90" w:type="dxa"/>
              <w:start w:w="120" w:type="dxa"/>
              <w:bottom w:w="90" w:type="dxa"/>
              <w:end w:w="120" w:type="dxa"/>
            </w:tcMar>
          </w:tcPr>
          <w:p>
            <w:pPr>
              <w:spacing w:after="0"/>
            </w:pPr>
            <w:r/>
            <w:r>
              <w:rPr>
                <w:rFonts w:ascii="Calibri" w:hAnsi="Calibri"/>
                <w:b w:val="0"/>
                <w:sz w:val="18"/>
              </w:rPr>
              <w:t>Governance aggregation</w:t>
            </w:r>
          </w:p>
        </w:tc>
        <w:tc>
          <w:tcPr>
            <w:tcW w:type="dxa" w:w="2304"/>
            <w:vAlign w:val="center"/>
            <w:tcMar>
              <w:top w:w="90" w:type="dxa"/>
              <w:start w:w="120" w:type="dxa"/>
              <w:bottom w:w="90" w:type="dxa"/>
              <w:end w:w="120" w:type="dxa"/>
            </w:tcMar>
          </w:tcPr>
          <w:p>
            <w:pPr>
              <w:spacing w:after="0"/>
            </w:pPr>
            <w:r/>
            <w:r>
              <w:rPr>
                <w:rFonts w:ascii="Calibri" w:hAnsi="Calibri"/>
                <w:b w:val="0"/>
                <w:sz w:val="18"/>
              </w:rPr>
              <w:t>Collective Governance Evaluation history</w:t>
            </w:r>
          </w:p>
        </w:tc>
        <w:tc>
          <w:tcPr>
            <w:tcW w:type="dxa" w:w="1800"/>
            <w:vAlign w:val="center"/>
            <w:tcMar>
              <w:top w:w="90" w:type="dxa"/>
              <w:start w:w="120" w:type="dxa"/>
              <w:bottom w:w="90" w:type="dxa"/>
              <w:end w:w="120" w:type="dxa"/>
            </w:tcMar>
          </w:tcPr>
          <w:p>
            <w:pPr>
              <w:spacing w:after="0"/>
            </w:pPr>
            <w:r/>
            <w:r>
              <w:rPr>
                <w:rFonts w:ascii="Calibri" w:hAnsi="Calibri"/>
                <w:b w:val="0"/>
                <w:sz w:val="18"/>
              </w:rPr>
              <w:t>Collective body of Governance Attestations</w:t>
            </w:r>
          </w:p>
        </w:tc>
        <w:tc>
          <w:tcPr>
            <w:tcW w:type="dxa" w:w="3528"/>
            <w:vAlign w:val="center"/>
            <w:tcMar>
              <w:top w:w="90" w:type="dxa"/>
              <w:start w:w="120" w:type="dxa"/>
              <w:bottom w:w="90" w:type="dxa"/>
              <w:end w:w="120" w:type="dxa"/>
            </w:tcMar>
          </w:tcPr>
          <w:p>
            <w:pPr>
              <w:spacing w:after="0"/>
            </w:pPr>
            <w:r/>
            <w:r>
              <w:rPr>
                <w:rFonts w:ascii="Calibri" w:hAnsi="Calibri"/>
                <w:b w:val="0"/>
                <w:sz w:val="18"/>
              </w:rPr>
              <w:t>Enterprise Trust emerges from positive and negative attestations. It is not a separately created business artifact.</w:t>
            </w:r>
          </w:p>
        </w:tc>
      </w:tr>
    </w:tbl>
    <w:p>
      <w:pPr>
        <w:spacing w:after="20"/>
      </w:pPr>
    </w:p>
    <w:p>
      <w:pPr>
        <w:pStyle w:val="Heading1"/>
      </w:pPr>
      <w:r>
        <w:t>6. Projection Flow</w:t>
      </w:r>
    </w:p>
    <w:p>
      <w:pPr>
        <w:spacing w:before="120" w:after="200"/>
        <w:jc w:val="center"/>
      </w:pPr>
      <w:r>
        <w:rPr>
          <w:rFonts w:ascii="Courier New" w:hAnsi="Courier New"/>
          <w:color w:val="1F4D78"/>
          <w:sz w:val="20"/>
        </w:rPr>
        <w:t>Immutable Cognitive Record</w:t>
        <w:br/>
        <w:t xml:space="preserve">        │</w:t>
        <w:br/>
        <w:t xml:space="preserve">        ▼</w:t>
        <w:br/>
        <w:t>Authorized Outcome Rule (BCS)</w:t>
        <w:br/>
        <w:t xml:space="preserve">        │</w:t>
        <w:br/>
        <w:t xml:space="preserve">        ▼</w:t>
        <w:br/>
        <w:t>Effective / Current Determination (RFC-011)</w:t>
        <w:br/>
        <w:t xml:space="preserve">        │</w:t>
        <w:br/>
        <w:t xml:space="preserve">        ▼</w:t>
        <w:br/>
        <w:t>Projected Business Outcome</w:t>
        <w:br/>
        <w:t xml:space="preserve">        │</w:t>
        <w:br/>
        <w:t xml:space="preserve">        ▼</w:t>
        <w:br/>
        <w:t>Downstream Authorized Consumption</w:t>
      </w:r>
    </w:p>
    <w:p>
      <w:r>
        <w:t>Projection is a statement of business standing. CAM-001 does not require materialization, duplication, a new table, a new entity, or a particular query mechanism.</w:t>
      </w:r>
    </w:p>
    <w:p>
      <w:pPr>
        <w:pStyle w:val="Heading1"/>
      </w:pPr>
      <w:r>
        <w:t>7. Downstream Consumption Rules</w:t>
      </w:r>
    </w:p>
    <w:tbl>
      <w:tblPr>
        <w:tblStyle w:val="TableGrid"/>
        <w:tblW w:type="auto" w:w="0"/>
        <w:tblLayout w:type="fixed"/>
        <w:tblLook w:firstColumn="1" w:firstRow="1" w:lastColumn="0" w:lastRow="0" w:noHBand="0" w:noVBand="1" w:val="04A0"/>
      </w:tblPr>
      <w:tblGrid>
        <w:gridCol w:w="2088"/>
        <w:gridCol w:w="3528"/>
        <w:gridCol w:w="3744"/>
      </w:tblGrid>
      <w:tr>
        <w:trPr>
          <w:tblHeader w:val="true"/>
        </w:trPr>
        <w:tc>
          <w:tcPr>
            <w:tcW w:type="dxa" w:w="3264"/>
            <w:vAlign w:val="center"/>
            <w:tcMar>
              <w:top w:w="90" w:type="dxa"/>
              <w:start w:w="120" w:type="dxa"/>
              <w:bottom w:w="90" w:type="dxa"/>
              <w:end w:w="120" w:type="dxa"/>
            </w:tcMar>
            <w:shd w:fill="2E74B5"/>
          </w:tcPr>
          <w:p>
            <w:pPr>
              <w:spacing w:after="0"/>
            </w:pPr>
            <w:r/>
            <w:r>
              <w:rPr>
                <w:rFonts w:ascii="Calibri" w:hAnsi="Calibri"/>
                <w:b/>
                <w:color w:val="FFFFFF"/>
                <w:sz w:val="18"/>
              </w:rPr>
              <w:t>Consumer</w:t>
            </w:r>
          </w:p>
        </w:tc>
        <w:tc>
          <w:tcPr>
            <w:tcW w:type="dxa" w:w="3264"/>
            <w:vAlign w:val="center"/>
            <w:tcMar>
              <w:top w:w="90" w:type="dxa"/>
              <w:start w:w="120" w:type="dxa"/>
              <w:bottom w:w="90" w:type="dxa"/>
              <w:end w:w="120" w:type="dxa"/>
            </w:tcMar>
            <w:shd w:fill="2E74B5"/>
          </w:tcPr>
          <w:p>
            <w:pPr>
              <w:spacing w:after="0"/>
            </w:pPr>
            <w:r/>
            <w:r>
              <w:rPr>
                <w:rFonts w:ascii="Calibri" w:hAnsi="Calibri"/>
                <w:b/>
                <w:color w:val="FFFFFF"/>
                <w:sz w:val="18"/>
              </w:rPr>
              <w:t>Consumes</w:t>
            </w:r>
          </w:p>
        </w:tc>
        <w:tc>
          <w:tcPr>
            <w:tcW w:type="dxa" w:w="3264"/>
            <w:vAlign w:val="center"/>
            <w:tcMar>
              <w:top w:w="90" w:type="dxa"/>
              <w:start w:w="120" w:type="dxa"/>
              <w:bottom w:w="90" w:type="dxa"/>
              <w:end w:w="120" w:type="dxa"/>
            </w:tcMar>
            <w:shd w:fill="2E74B5"/>
          </w:tcPr>
          <w:p>
            <w:pPr>
              <w:spacing w:after="0"/>
            </w:pPr>
            <w:r/>
            <w:r>
              <w:rPr>
                <w:rFonts w:ascii="Calibri" w:hAnsi="Calibri"/>
                <w:b/>
                <w:color w:val="FFFFFF"/>
                <w:sz w:val="18"/>
              </w:rPr>
              <w:t>Does not imply</w:t>
            </w:r>
          </w:p>
        </w:tc>
      </w:tr>
      <w:tr>
        <w:tc>
          <w:tcPr>
            <w:tcW w:type="dxa" w:w="2088"/>
            <w:vAlign w:val="center"/>
            <w:tcMar>
              <w:top w:w="90" w:type="dxa"/>
              <w:start w:w="120" w:type="dxa"/>
              <w:bottom w:w="90" w:type="dxa"/>
              <w:end w:w="120" w:type="dxa"/>
            </w:tcMar>
          </w:tcPr>
          <w:p>
            <w:pPr>
              <w:spacing w:after="0"/>
            </w:pPr>
            <w:r/>
            <w:r>
              <w:rPr>
                <w:rFonts w:ascii="Calibri" w:hAnsi="Calibri"/>
                <w:b w:val="0"/>
                <w:sz w:val="18"/>
              </w:rPr>
              <w:t>Knowledge</w:t>
            </w:r>
          </w:p>
        </w:tc>
        <w:tc>
          <w:tcPr>
            <w:tcW w:type="dxa" w:w="3528"/>
            <w:vAlign w:val="center"/>
            <w:tcMar>
              <w:top w:w="90" w:type="dxa"/>
              <w:start w:w="120" w:type="dxa"/>
              <w:bottom w:w="90" w:type="dxa"/>
              <w:end w:w="120" w:type="dxa"/>
            </w:tcMar>
          </w:tcPr>
          <w:p>
            <w:pPr>
              <w:spacing w:after="0"/>
            </w:pPr>
            <w:r/>
            <w:r>
              <w:rPr>
                <w:rFonts w:ascii="Calibri" w:hAnsi="Calibri"/>
                <w:b w:val="0"/>
                <w:sz w:val="18"/>
              </w:rPr>
              <w:t>Assertion Record, Acceptance Evidence, and applicable policy as defined by KRM-001</w:t>
            </w:r>
          </w:p>
        </w:tc>
        <w:tc>
          <w:tcPr>
            <w:tcW w:type="dxa" w:w="3744"/>
            <w:vAlign w:val="center"/>
            <w:tcMar>
              <w:top w:w="90" w:type="dxa"/>
              <w:start w:w="120" w:type="dxa"/>
              <w:bottom w:w="90" w:type="dxa"/>
              <w:end w:w="120" w:type="dxa"/>
            </w:tcMar>
          </w:tcPr>
          <w:p>
            <w:pPr>
              <w:spacing w:after="0"/>
            </w:pPr>
            <w:r/>
            <w:r>
              <w:rPr>
                <w:rFonts w:ascii="Calibri" w:hAnsi="Calibri"/>
                <w:b w:val="0"/>
                <w:sz w:val="18"/>
              </w:rPr>
              <w:t>That every Assertion Record is Institutional Knowledge.</w:t>
            </w:r>
          </w:p>
        </w:tc>
      </w:tr>
      <w:tr>
        <w:tc>
          <w:tcPr>
            <w:tcW w:type="dxa" w:w="2088"/>
            <w:vAlign w:val="center"/>
            <w:tcMar>
              <w:top w:w="90" w:type="dxa"/>
              <w:start w:w="120" w:type="dxa"/>
              <w:bottom w:w="90" w:type="dxa"/>
              <w:end w:w="120" w:type="dxa"/>
            </w:tcMar>
            <w:shd w:fill="F8FAFC"/>
          </w:tcPr>
          <w:p>
            <w:pPr>
              <w:spacing w:after="0"/>
            </w:pPr>
            <w:r/>
            <w:r>
              <w:rPr>
                <w:rFonts w:ascii="Calibri" w:hAnsi="Calibri"/>
                <w:b w:val="0"/>
                <w:sz w:val="18"/>
              </w:rPr>
              <w:t>Decision</w:t>
            </w:r>
          </w:p>
        </w:tc>
        <w:tc>
          <w:tcPr>
            <w:tcW w:type="dxa" w:w="3528"/>
            <w:vAlign w:val="center"/>
            <w:tcMar>
              <w:top w:w="90" w:type="dxa"/>
              <w:start w:w="120" w:type="dxa"/>
              <w:bottom w:w="90" w:type="dxa"/>
              <w:end w:w="120" w:type="dxa"/>
            </w:tcMar>
            <w:shd w:fill="F8FAFC"/>
          </w:tcPr>
          <w:p>
            <w:pPr>
              <w:spacing w:after="0"/>
            </w:pPr>
            <w:r/>
            <w:r>
              <w:rPr>
                <w:rFonts w:ascii="Calibri" w:hAnsi="Calibri"/>
                <w:b w:val="0"/>
                <w:sz w:val="18"/>
              </w:rPr>
              <w:t>One or more Institutional Knowledge items established by Knowledge Evaluation</w:t>
            </w:r>
          </w:p>
        </w:tc>
        <w:tc>
          <w:tcPr>
            <w:tcW w:type="dxa" w:w="3744"/>
            <w:vAlign w:val="center"/>
            <w:tcMar>
              <w:top w:w="90" w:type="dxa"/>
              <w:start w:w="120" w:type="dxa"/>
              <w:bottom w:w="90" w:type="dxa"/>
              <w:end w:w="120" w:type="dxa"/>
            </w:tcMar>
            <w:shd w:fill="F8FAFC"/>
          </w:tcPr>
          <w:p>
            <w:pPr>
              <w:spacing w:after="0"/>
            </w:pPr>
            <w:r/>
            <w:r>
              <w:rPr>
                <w:rFonts w:ascii="Calibri" w:hAnsi="Calibri"/>
                <w:b w:val="0"/>
                <w:sz w:val="18"/>
              </w:rPr>
              <w:t>That Decision consumes raw Knowledge Evaluation Records or non-institutionalized candidates.</w:t>
            </w:r>
          </w:p>
        </w:tc>
      </w:tr>
      <w:tr>
        <w:tc>
          <w:tcPr>
            <w:tcW w:type="dxa" w:w="2088"/>
            <w:vAlign w:val="center"/>
            <w:tcMar>
              <w:top w:w="90" w:type="dxa"/>
              <w:start w:w="120" w:type="dxa"/>
              <w:bottom w:w="90" w:type="dxa"/>
              <w:end w:w="120" w:type="dxa"/>
            </w:tcMar>
          </w:tcPr>
          <w:p>
            <w:pPr>
              <w:spacing w:after="0"/>
            </w:pPr>
            <w:r/>
            <w:r>
              <w:rPr>
                <w:rFonts w:ascii="Calibri" w:hAnsi="Calibri"/>
                <w:b w:val="0"/>
                <w:sz w:val="18"/>
              </w:rPr>
              <w:t>Governance</w:t>
            </w:r>
          </w:p>
        </w:tc>
        <w:tc>
          <w:tcPr>
            <w:tcW w:type="dxa" w:w="3528"/>
            <w:vAlign w:val="center"/>
            <w:tcMar>
              <w:top w:w="90" w:type="dxa"/>
              <w:start w:w="120" w:type="dxa"/>
              <w:bottom w:w="90" w:type="dxa"/>
              <w:end w:w="120" w:type="dxa"/>
            </w:tcMar>
          </w:tcPr>
          <w:p>
            <w:pPr>
              <w:spacing w:after="0"/>
            </w:pPr>
            <w:r/>
            <w:r>
              <w:rPr>
                <w:rFonts w:ascii="Calibri" w:hAnsi="Calibri"/>
                <w:b w:val="0"/>
                <w:sz w:val="18"/>
              </w:rPr>
              <w:t>Immutable records from Entity Resolution, Semantic Resolution, Assertion, Knowledge, and Decision</w:t>
            </w:r>
          </w:p>
        </w:tc>
        <w:tc>
          <w:tcPr>
            <w:tcW w:type="dxa" w:w="3744"/>
            <w:vAlign w:val="center"/>
            <w:tcMar>
              <w:top w:w="90" w:type="dxa"/>
              <w:start w:w="120" w:type="dxa"/>
              <w:bottom w:w="90" w:type="dxa"/>
              <w:end w:w="120" w:type="dxa"/>
            </w:tcMar>
          </w:tcPr>
          <w:p>
            <w:pPr>
              <w:spacing w:after="0"/>
            </w:pPr>
            <w:r/>
            <w:r>
              <w:rPr>
                <w:rFonts w:ascii="Calibri" w:hAnsi="Calibri"/>
                <w:b w:val="0"/>
                <w:sz w:val="18"/>
              </w:rPr>
              <w:t>That Governance changes, promotes, or re-projects the governed record.</w:t>
            </w:r>
          </w:p>
        </w:tc>
      </w:tr>
      <w:tr>
        <w:tc>
          <w:tcPr>
            <w:tcW w:type="dxa" w:w="2088"/>
            <w:vAlign w:val="center"/>
            <w:tcMar>
              <w:top w:w="90" w:type="dxa"/>
              <w:start w:w="120" w:type="dxa"/>
              <w:bottom w:w="90" w:type="dxa"/>
              <w:end w:w="120" w:type="dxa"/>
            </w:tcMar>
            <w:shd w:fill="F8FAFC"/>
          </w:tcPr>
          <w:p>
            <w:pPr>
              <w:spacing w:after="0"/>
            </w:pPr>
            <w:r/>
            <w:r>
              <w:rPr>
                <w:rFonts w:ascii="Calibri" w:hAnsi="Calibri"/>
                <w:b w:val="0"/>
                <w:sz w:val="18"/>
              </w:rPr>
              <w:t>Product Access / PAD</w:t>
            </w:r>
          </w:p>
        </w:tc>
        <w:tc>
          <w:tcPr>
            <w:tcW w:type="dxa" w:w="3528"/>
            <w:vAlign w:val="center"/>
            <w:tcMar>
              <w:top w:w="90" w:type="dxa"/>
              <w:start w:w="120" w:type="dxa"/>
              <w:bottom w:w="90" w:type="dxa"/>
              <w:end w:w="120" w:type="dxa"/>
            </w:tcMar>
            <w:shd w:fill="F8FAFC"/>
          </w:tcPr>
          <w:p>
            <w:pPr>
              <w:spacing w:after="0"/>
            </w:pPr>
            <w:r/>
            <w:r>
              <w:rPr>
                <w:rFonts w:ascii="Calibri" w:hAnsi="Calibri"/>
                <w:b w:val="0"/>
                <w:sz w:val="18"/>
              </w:rPr>
              <w:t>Authorized engine responses and runtime references</w:t>
            </w:r>
          </w:p>
        </w:tc>
        <w:tc>
          <w:tcPr>
            <w:tcW w:type="dxa" w:w="3744"/>
            <w:vAlign w:val="center"/>
            <w:tcMar>
              <w:top w:w="90" w:type="dxa"/>
              <w:start w:w="120" w:type="dxa"/>
              <w:bottom w:w="90" w:type="dxa"/>
              <w:end w:w="120" w:type="dxa"/>
            </w:tcMar>
            <w:shd w:fill="F8FAFC"/>
          </w:tcPr>
          <w:p>
            <w:pPr>
              <w:spacing w:after="0"/>
            </w:pPr>
            <w:r/>
            <w:r>
              <w:rPr>
                <w:rFonts w:ascii="Calibri" w:hAnsi="Calibri"/>
                <w:b w:val="0"/>
                <w:sz w:val="18"/>
              </w:rPr>
              <w:t>That PAD owns business outcomes, canonical projection, or execution lifecycle semantics.</w:t>
            </w:r>
          </w:p>
        </w:tc>
      </w:tr>
      <w:tr>
        <w:tc>
          <w:tcPr>
            <w:tcW w:type="dxa" w:w="2088"/>
            <w:vAlign w:val="center"/>
            <w:tcMar>
              <w:top w:w="90" w:type="dxa"/>
              <w:start w:w="120" w:type="dxa"/>
              <w:bottom w:w="90" w:type="dxa"/>
              <w:end w:w="120" w:type="dxa"/>
            </w:tcMar>
          </w:tcPr>
          <w:p>
            <w:pPr>
              <w:spacing w:after="0"/>
            </w:pPr>
            <w:r/>
            <w:r>
              <w:rPr>
                <w:rFonts w:ascii="Calibri" w:hAnsi="Calibri"/>
                <w:b w:val="0"/>
                <w:sz w:val="18"/>
              </w:rPr>
              <w:t>Runtime architecture</w:t>
            </w:r>
          </w:p>
        </w:tc>
        <w:tc>
          <w:tcPr>
            <w:tcW w:type="dxa" w:w="3528"/>
            <w:vAlign w:val="center"/>
            <w:tcMar>
              <w:top w:w="90" w:type="dxa"/>
              <w:start w:w="120" w:type="dxa"/>
              <w:bottom w:w="90" w:type="dxa"/>
              <w:end w:w="120" w:type="dxa"/>
            </w:tcMar>
          </w:tcPr>
          <w:p>
            <w:pPr>
              <w:spacing w:after="0"/>
            </w:pPr>
            <w:r/>
            <w:r>
              <w:rPr>
                <w:rFonts w:ascii="Calibri" w:hAnsi="Calibri"/>
                <w:b w:val="0"/>
                <w:sz w:val="18"/>
              </w:rPr>
              <w:t>Opaque inputs, orchestration references, execution state, and outputs</w:t>
            </w:r>
          </w:p>
        </w:tc>
        <w:tc>
          <w:tcPr>
            <w:tcW w:type="dxa" w:w="3744"/>
            <w:vAlign w:val="center"/>
            <w:tcMar>
              <w:top w:w="90" w:type="dxa"/>
              <w:start w:w="120" w:type="dxa"/>
              <w:bottom w:w="90" w:type="dxa"/>
              <w:end w:w="120" w:type="dxa"/>
            </w:tcMar>
          </w:tcPr>
          <w:p>
            <w:pPr>
              <w:spacing w:after="0"/>
            </w:pPr>
            <w:r/>
            <w:r>
              <w:rPr>
                <w:rFonts w:ascii="Calibri" w:hAnsi="Calibri"/>
                <w:b w:val="0"/>
                <w:sz w:val="18"/>
              </w:rPr>
              <w:t>That Completed means Established, Institutionalized, Recommended, Compliant, or otherwise granted business standing.</w:t>
            </w:r>
          </w:p>
        </w:tc>
      </w:tr>
    </w:tbl>
    <w:p>
      <w:pPr>
        <w:spacing w:after="20"/>
      </w:pPr>
    </w:p>
    <w:p>
      <w:pPr>
        <w:pStyle w:val="Heading1"/>
      </w:pPr>
      <w:r>
        <w:t>8. Currentness, Effective Dating, and History</w:t>
      </w:r>
    </w:p>
    <w:p>
      <w:r>
        <w:t>Projection does not make immutable records mutable. When a new evaluation changes enterprise understanding, the capability creates a new immutable record. Currentness is then determined externally from ordered history under RFC-011 and the identity rules of the governing BCS.</w:t>
      </w:r>
    </w:p>
    <w:p>
      <w:pPr>
        <w:pStyle w:val="ListBullet"/>
      </w:pPr>
      <w:r>
        <w:t>Produced Timestamp determines creation order where required by RFC-011.</w:t>
      </w:r>
    </w:p>
    <w:p>
      <w:pPr>
        <w:pStyle w:val="ListBullet"/>
      </w:pPr>
      <w:r>
        <w:t>Effective From determines business effectiveness; future-effective records are not current before they become effective.</w:t>
      </w:r>
    </w:p>
    <w:p>
      <w:pPr>
        <w:pStyle w:val="ListBullet"/>
      </w:pPr>
      <w:r>
        <w:t>Backdated records participate in currentness according to RFC-011 ordering rules.</w:t>
      </w:r>
    </w:p>
    <w:p>
      <w:pPr>
        <w:pStyle w:val="ListBullet"/>
      </w:pPr>
      <w:r>
        <w:t>Historical records and their explanations remain preserved even when they no longer determine current understanding.</w:t>
      </w:r>
    </w:p>
    <w:p>
      <w:pPr>
        <w:pStyle w:val="Heading1"/>
      </w:pPr>
      <w:r>
        <w:t>9. Governance and Projection</w:t>
      </w:r>
    </w:p>
    <w:p>
      <w:r>
        <w:t>Governance is not a universal promotion step that converts every cognitive record into a canonical entity. Governance evaluates immutable enterprise understanding against governing policies and establishes a Governance Attestation. Knowledge separately evaluates Acceptance Evidence; only an Institutionalized Knowledge Evaluation establishes Institutional Knowledge.</w:t>
      </w:r>
    </w:p>
    <w:p>
      <w:r>
        <w:t>This separation preserves the approved rule: persistence records facts, cognition assigns meaning, capability evaluation establishes business outcomes, and governance grants or evaluates institutional standing only within its authorized specifications.</w:t>
      </w:r>
    </w:p>
    <w:p>
      <w:pPr>
        <w:pStyle w:val="Heading1"/>
      </w:pPr>
      <w:r>
        <w:t>10. Runtime Separation</w:t>
      </w:r>
    </w:p>
    <w:p>
      <w:r>
        <w:t>EIC-001, EOM-001, and ESM-001 govern invocation, orchestration, and execution state. Runtime state is operational metadata and has no canonical business projection.</w:t>
      </w:r>
    </w:p>
    <w:p>
      <w:r>
        <w:t>A Completed execution means only that runtime execution completed successfully. It does not mean that an Assertion was Established, Knowledge was Institutionalized, a Decision was Recommended, or Governance found a record Compliant. Those meanings arise exclusively from the corresponding immutable record and BCS outcome.</w:t>
      </w:r>
    </w:p>
    <w:p>
      <w:pPr>
        <w:pStyle w:val="Heading1"/>
      </w:pPr>
      <w:r>
        <w:t>11. Non-Goals</w:t>
      </w:r>
    </w:p>
    <w:p>
      <w:pPr>
        <w:pStyle w:val="ListBullet"/>
      </w:pPr>
      <w:r>
        <w:t>Create or modify CEO entities, attributes, relationships, or lifecycle.</w:t>
      </w:r>
    </w:p>
    <w:p>
      <w:pPr>
        <w:pStyle w:val="ListBullet"/>
      </w:pPr>
      <w:r>
        <w:t>Define persistence tables, ORM models, projections, views, APIs, DTOs, events, or caches.</w:t>
      </w:r>
    </w:p>
    <w:p>
      <w:pPr>
        <w:pStyle w:val="ListBullet"/>
      </w:pPr>
      <w:r>
        <w:t>Authorize a new Canonical Knowledge, Canonical Decision, or Canonical Governance entity.</w:t>
      </w:r>
    </w:p>
    <w:p>
      <w:pPr>
        <w:pStyle w:val="ListBullet"/>
      </w:pPr>
      <w:r>
        <w:t>Change any BCS outcome, input, artifact, or currentness rule.</w:t>
      </w:r>
    </w:p>
    <w:p>
      <w:pPr>
        <w:pStyle w:val="ListBullet"/>
      </w:pPr>
      <w:r>
        <w:t>Make PAD or runtime architecture responsible for business standing.</w:t>
      </w:r>
    </w:p>
    <w:p>
      <w:pPr>
        <w:pStyle w:val="ListBullet"/>
      </w:pPr>
      <w:r>
        <w:t>Define implementation strategy for materialized or computed views.</w:t>
      </w:r>
    </w:p>
    <w:p>
      <w:pPr>
        <w:pStyle w:val="Heading1"/>
      </w:pPr>
      <w:r>
        <w:t>12. Traceability</w:t>
      </w:r>
    </w:p>
    <w:tbl>
      <w:tblPr>
        <w:tblStyle w:val="TableGrid"/>
        <w:tblW w:type="auto" w:w="0"/>
        <w:tblLayout w:type="fixed"/>
        <w:tblLook w:firstColumn="1" w:firstRow="1" w:lastColumn="0" w:lastRow="0" w:noHBand="0" w:noVBand="1" w:val="04A0"/>
      </w:tblPr>
      <w:tblGrid>
        <w:gridCol w:w="2232"/>
        <w:gridCol w:w="7128"/>
      </w:tblGrid>
      <w:tr>
        <w:trPr>
          <w:tblHeader w:val="true"/>
        </w:trPr>
        <w:tc>
          <w:tcPr>
            <w:tcW w:type="dxa" w:w="4896"/>
            <w:vAlign w:val="center"/>
            <w:tcMar>
              <w:top w:w="90" w:type="dxa"/>
              <w:start w:w="120" w:type="dxa"/>
              <w:bottom w:w="90" w:type="dxa"/>
              <w:end w:w="120" w:type="dxa"/>
            </w:tcMar>
            <w:shd w:fill="2E74B5"/>
          </w:tcPr>
          <w:p>
            <w:pPr>
              <w:spacing w:after="0"/>
            </w:pPr>
            <w:r/>
            <w:r>
              <w:rPr>
                <w:rFonts w:ascii="Calibri" w:hAnsi="Calibri"/>
                <w:b/>
                <w:color w:val="FFFFFF"/>
                <w:sz w:val="18"/>
              </w:rPr>
              <w:t>Authority</w:t>
            </w:r>
          </w:p>
        </w:tc>
        <w:tc>
          <w:tcPr>
            <w:tcW w:type="dxa" w:w="4896"/>
            <w:vAlign w:val="center"/>
            <w:tcMar>
              <w:top w:w="90" w:type="dxa"/>
              <w:start w:w="120" w:type="dxa"/>
              <w:bottom w:w="90" w:type="dxa"/>
              <w:end w:w="120" w:type="dxa"/>
            </w:tcMar>
            <w:shd w:fill="2E74B5"/>
          </w:tcPr>
          <w:p>
            <w:pPr>
              <w:spacing w:after="0"/>
            </w:pPr>
            <w:r/>
            <w:r>
              <w:rPr>
                <w:rFonts w:ascii="Calibri" w:hAnsi="Calibri"/>
                <w:b/>
                <w:color w:val="FFFFFF"/>
                <w:sz w:val="18"/>
              </w:rPr>
              <w:t>Contribution</w:t>
            </w:r>
          </w:p>
        </w:tc>
      </w:tr>
      <w:tr>
        <w:tc>
          <w:tcPr>
            <w:tcW w:type="dxa" w:w="2232"/>
            <w:vAlign w:val="center"/>
            <w:tcMar>
              <w:top w:w="90" w:type="dxa"/>
              <w:start w:w="120" w:type="dxa"/>
              <w:bottom w:w="90" w:type="dxa"/>
              <w:end w:w="120" w:type="dxa"/>
            </w:tcMar>
          </w:tcPr>
          <w:p>
            <w:pPr>
              <w:spacing w:after="0"/>
            </w:pPr>
            <w:r/>
            <w:r>
              <w:rPr>
                <w:rFonts w:ascii="Calibri" w:hAnsi="Calibri"/>
                <w:b w:val="0"/>
                <w:sz w:val="18"/>
              </w:rPr>
              <w:t>EAH-001</w:t>
            </w:r>
          </w:p>
        </w:tc>
        <w:tc>
          <w:tcPr>
            <w:tcW w:type="dxa" w:w="7128"/>
            <w:vAlign w:val="center"/>
            <w:tcMar>
              <w:top w:w="90" w:type="dxa"/>
              <w:start w:w="120" w:type="dxa"/>
              <w:bottom w:w="90" w:type="dxa"/>
              <w:end w:w="120" w:type="dxa"/>
            </w:tcMar>
          </w:tcPr>
          <w:p>
            <w:pPr>
              <w:spacing w:after="0"/>
            </w:pPr>
            <w:r/>
            <w:r>
              <w:rPr>
                <w:rFonts w:ascii="Calibri" w:hAnsi="Calibri"/>
                <w:b w:val="0"/>
                <w:sz w:val="18"/>
              </w:rPr>
              <w:t>Architecture hierarchy and separation of ontology, cognition, BCS, CDD, and code.</w:t>
            </w:r>
          </w:p>
        </w:tc>
      </w:tr>
      <w:tr>
        <w:tc>
          <w:tcPr>
            <w:tcW w:type="dxa" w:w="2232"/>
            <w:vAlign w:val="center"/>
            <w:tcMar>
              <w:top w:w="90" w:type="dxa"/>
              <w:start w:w="120" w:type="dxa"/>
              <w:bottom w:w="90" w:type="dxa"/>
              <w:end w:w="120" w:type="dxa"/>
            </w:tcMar>
            <w:shd w:fill="F8FAFC"/>
          </w:tcPr>
          <w:p>
            <w:pPr>
              <w:spacing w:after="0"/>
            </w:pPr>
            <w:r/>
            <w:r>
              <w:rPr>
                <w:rFonts w:ascii="Calibri" w:hAnsi="Calibri"/>
                <w:b w:val="0"/>
                <w:sz w:val="18"/>
              </w:rPr>
              <w:t>RFC-010</w:t>
            </w:r>
          </w:p>
        </w:tc>
        <w:tc>
          <w:tcPr>
            <w:tcW w:type="dxa" w:w="7128"/>
            <w:vAlign w:val="center"/>
            <w:tcMar>
              <w:top w:w="90" w:type="dxa"/>
              <w:start w:w="120" w:type="dxa"/>
              <w:bottom w:w="90" w:type="dxa"/>
              <w:end w:w="120" w:type="dxa"/>
            </w:tcMar>
            <w:shd w:fill="F8FAFC"/>
          </w:tcPr>
          <w:p>
            <w:pPr>
              <w:spacing w:after="0"/>
            </w:pPr>
            <w:r/>
            <w:r>
              <w:rPr>
                <w:rFonts w:ascii="Calibri" w:hAnsi="Calibri"/>
                <w:b w:val="0"/>
                <w:sz w:val="18"/>
              </w:rPr>
              <w:t>CEO boundary and prohibition on cognitive modification of canonical structure.</w:t>
            </w:r>
          </w:p>
        </w:tc>
      </w:tr>
      <w:tr>
        <w:tc>
          <w:tcPr>
            <w:tcW w:type="dxa" w:w="2232"/>
            <w:vAlign w:val="center"/>
            <w:tcMar>
              <w:top w:w="90" w:type="dxa"/>
              <w:start w:w="120" w:type="dxa"/>
              <w:bottom w:w="90" w:type="dxa"/>
              <w:end w:w="120" w:type="dxa"/>
            </w:tcMar>
          </w:tcPr>
          <w:p>
            <w:pPr>
              <w:spacing w:after="0"/>
            </w:pPr>
            <w:r/>
            <w:r>
              <w:rPr>
                <w:rFonts w:ascii="Calibri" w:hAnsi="Calibri"/>
                <w:b w:val="0"/>
                <w:sz w:val="18"/>
              </w:rPr>
              <w:t>RFC-011</w:t>
            </w:r>
          </w:p>
        </w:tc>
        <w:tc>
          <w:tcPr>
            <w:tcW w:type="dxa" w:w="7128"/>
            <w:vAlign w:val="center"/>
            <w:tcMar>
              <w:top w:w="90" w:type="dxa"/>
              <w:start w:w="120" w:type="dxa"/>
              <w:bottom w:w="90" w:type="dxa"/>
              <w:end w:w="120" w:type="dxa"/>
            </w:tcMar>
          </w:tcPr>
          <w:p>
            <w:pPr>
              <w:spacing w:after="0"/>
            </w:pPr>
            <w:r/>
            <w:r>
              <w:rPr>
                <w:rFonts w:ascii="Calibri" w:hAnsi="Calibri"/>
                <w:b w:val="0"/>
                <w:sz w:val="18"/>
              </w:rPr>
              <w:t>Immutable-record lifecycle and external currentness.</w:t>
            </w:r>
          </w:p>
        </w:tc>
      </w:tr>
      <w:tr>
        <w:tc>
          <w:tcPr>
            <w:tcW w:type="dxa" w:w="2232"/>
            <w:vAlign w:val="center"/>
            <w:tcMar>
              <w:top w:w="90" w:type="dxa"/>
              <w:start w:w="120" w:type="dxa"/>
              <w:bottom w:w="90" w:type="dxa"/>
              <w:end w:w="120" w:type="dxa"/>
            </w:tcMar>
            <w:shd w:fill="F8FAFC"/>
          </w:tcPr>
          <w:p>
            <w:pPr>
              <w:spacing w:after="0"/>
            </w:pPr>
            <w:r>
              <w:t>ERM-001 v2.2</w:t>
            </w:r>
          </w:p>
        </w:tc>
        <w:tc>
          <w:tcPr>
            <w:tcW w:type="dxa" w:w="7128"/>
            <w:vAlign w:val="center"/>
            <w:tcMar>
              <w:top w:w="90" w:type="dxa"/>
              <w:start w:w="120" w:type="dxa"/>
              <w:bottom w:w="90" w:type="dxa"/>
              <w:end w:w="120" w:type="dxa"/>
            </w:tcMar>
            <w:shd w:fill="F8FAFC"/>
          </w:tcPr>
          <w:p>
            <w:pPr>
              <w:spacing w:after="0"/>
            </w:pPr>
            <w:r/>
            <w:r>
              <w:rPr>
                <w:rFonts w:ascii="Calibri" w:hAnsi="Calibri"/>
                <w:b w:val="0"/>
                <w:sz w:val="18"/>
              </w:rPr>
              <w:t>Identity Resolution outcome semantics.</w:t>
            </w:r>
          </w:p>
        </w:tc>
      </w:tr>
      <w:tr>
        <w:tc>
          <w:tcPr>
            <w:tcW w:type="dxa" w:w="2232"/>
            <w:vAlign w:val="center"/>
            <w:tcMar>
              <w:top w:w="90" w:type="dxa"/>
              <w:start w:w="120" w:type="dxa"/>
              <w:bottom w:w="90" w:type="dxa"/>
              <w:end w:w="120" w:type="dxa"/>
            </w:tcMar>
          </w:tcPr>
          <w:p>
            <w:pPr>
              <w:spacing w:after="0"/>
            </w:pPr>
            <w:r>
              <w:t>SRM-001 v2.2</w:t>
            </w:r>
          </w:p>
        </w:tc>
        <w:tc>
          <w:tcPr>
            <w:tcW w:type="dxa" w:w="7128"/>
            <w:vAlign w:val="center"/>
            <w:tcMar>
              <w:top w:w="90" w:type="dxa"/>
              <w:start w:w="120" w:type="dxa"/>
              <w:bottom w:w="90" w:type="dxa"/>
              <w:end w:w="120" w:type="dxa"/>
            </w:tcMar>
          </w:tcPr>
          <w:p>
            <w:pPr>
              <w:spacing w:after="0"/>
            </w:pPr>
            <w:r/>
            <w:r>
              <w:rPr>
                <w:rFonts w:ascii="Calibri" w:hAnsi="Calibri"/>
                <w:b w:val="0"/>
                <w:sz w:val="18"/>
              </w:rPr>
              <w:t>Semantic Resolution outcome semantics.</w:t>
            </w:r>
          </w:p>
        </w:tc>
      </w:tr>
      <w:tr>
        <w:tc>
          <w:tcPr>
            <w:tcW w:type="dxa" w:w="2232"/>
            <w:vAlign w:val="center"/>
            <w:tcMar>
              <w:top w:w="90" w:type="dxa"/>
              <w:start w:w="120" w:type="dxa"/>
              <w:bottom w:w="90" w:type="dxa"/>
              <w:end w:w="120" w:type="dxa"/>
            </w:tcMar>
            <w:shd w:fill="F8FAFC"/>
          </w:tcPr>
          <w:p>
            <w:pPr>
              <w:spacing w:after="0"/>
            </w:pPr>
            <w:r>
              <w:t>ASM-001 v2.2</w:t>
            </w:r>
          </w:p>
        </w:tc>
        <w:tc>
          <w:tcPr>
            <w:tcW w:type="dxa" w:w="7128"/>
            <w:vAlign w:val="center"/>
            <w:tcMar>
              <w:top w:w="90" w:type="dxa"/>
              <w:start w:w="120" w:type="dxa"/>
              <w:bottom w:w="90" w:type="dxa"/>
              <w:end w:w="120" w:type="dxa"/>
            </w:tcMar>
            <w:shd w:fill="F8FAFC"/>
          </w:tcPr>
          <w:p>
            <w:pPr>
              <w:spacing w:after="0"/>
            </w:pPr>
            <w:r/>
            <w:r>
              <w:rPr>
                <w:rFonts w:ascii="Calibri" w:hAnsi="Calibri"/>
                <w:b w:val="0"/>
                <w:sz w:val="18"/>
              </w:rPr>
              <w:t>Assertion Record and Established/Candidate/Rejected outcomes.</w:t>
            </w:r>
          </w:p>
        </w:tc>
      </w:tr>
      <w:tr>
        <w:tc>
          <w:tcPr>
            <w:tcW w:type="dxa" w:w="2232"/>
            <w:vAlign w:val="center"/>
            <w:tcMar>
              <w:top w:w="90" w:type="dxa"/>
              <w:start w:w="120" w:type="dxa"/>
              <w:bottom w:w="90" w:type="dxa"/>
              <w:end w:w="120" w:type="dxa"/>
            </w:tcMar>
          </w:tcPr>
          <w:p>
            <w:pPr>
              <w:spacing w:after="0"/>
            </w:pPr>
            <w:r>
              <w:t>AEM-001 v1.1</w:t>
            </w:r>
          </w:p>
        </w:tc>
        <w:tc>
          <w:tcPr>
            <w:tcW w:type="dxa" w:w="7128"/>
            <w:vAlign w:val="center"/>
            <w:tcMar>
              <w:top w:w="90" w:type="dxa"/>
              <w:start w:w="120" w:type="dxa"/>
              <w:bottom w:w="90" w:type="dxa"/>
              <w:end w:w="120" w:type="dxa"/>
            </w:tcMar>
          </w:tcPr>
          <w:p>
            <w:pPr>
              <w:spacing w:after="0"/>
            </w:pPr>
            <w:r/>
            <w:r>
              <w:rPr>
                <w:rFonts w:ascii="Calibri" w:hAnsi="Calibri"/>
                <w:b w:val="0"/>
                <w:sz w:val="18"/>
              </w:rPr>
              <w:t>Acceptance Evidence contract.</w:t>
            </w:r>
          </w:p>
        </w:tc>
      </w:tr>
      <w:tr>
        <w:tc>
          <w:tcPr>
            <w:tcW w:type="dxa" w:w="2232"/>
            <w:vAlign w:val="center"/>
            <w:tcMar>
              <w:top w:w="90" w:type="dxa"/>
              <w:start w:w="120" w:type="dxa"/>
              <w:bottom w:w="90" w:type="dxa"/>
              <w:end w:w="120" w:type="dxa"/>
            </w:tcMar>
            <w:shd w:fill="F8FAFC"/>
          </w:tcPr>
          <w:p>
            <w:pPr>
              <w:spacing w:after="0"/>
            </w:pPr>
            <w:r>
              <w:t>KRM-001 v1.4</w:t>
            </w:r>
          </w:p>
        </w:tc>
        <w:tc>
          <w:tcPr>
            <w:tcW w:type="dxa" w:w="7128"/>
            <w:vAlign w:val="center"/>
            <w:tcMar>
              <w:top w:w="90" w:type="dxa"/>
              <w:start w:w="120" w:type="dxa"/>
              <w:bottom w:w="90" w:type="dxa"/>
              <w:end w:w="120" w:type="dxa"/>
            </w:tcMar>
            <w:shd w:fill="F8FAFC"/>
          </w:tcPr>
          <w:p>
            <w:pPr>
              <w:spacing w:after="0"/>
            </w:pPr>
            <w:r/>
            <w:r>
              <w:rPr>
                <w:rFonts w:ascii="Calibri" w:hAnsi="Calibri"/>
                <w:b w:val="0"/>
                <w:sz w:val="18"/>
              </w:rPr>
              <w:t>Knowledge Evaluation and Institutional Knowledge projection.</w:t>
            </w:r>
          </w:p>
        </w:tc>
      </w:tr>
      <w:tr>
        <w:tc>
          <w:tcPr>
            <w:tcW w:type="dxa" w:w="2232"/>
            <w:vAlign w:val="center"/>
            <w:tcMar>
              <w:top w:w="90" w:type="dxa"/>
              <w:start w:w="120" w:type="dxa"/>
              <w:bottom w:w="90" w:type="dxa"/>
              <w:end w:w="120" w:type="dxa"/>
            </w:tcMar>
          </w:tcPr>
          <w:p>
            <w:pPr>
              <w:spacing w:after="0"/>
            </w:pPr>
            <w:r>
              <w:t>DRM-001 v1.2</w:t>
            </w:r>
          </w:p>
        </w:tc>
        <w:tc>
          <w:tcPr>
            <w:tcW w:type="dxa" w:w="7128"/>
            <w:vAlign w:val="center"/>
            <w:tcMar>
              <w:top w:w="90" w:type="dxa"/>
              <w:start w:w="120" w:type="dxa"/>
              <w:bottom w:w="90" w:type="dxa"/>
              <w:end w:w="120" w:type="dxa"/>
            </w:tcMar>
          </w:tcPr>
          <w:p>
            <w:pPr>
              <w:spacing w:after="0"/>
            </w:pPr>
            <w:r/>
            <w:r>
              <w:rPr>
                <w:rFonts w:ascii="Calibri" w:hAnsi="Calibri"/>
                <w:b w:val="0"/>
                <w:sz w:val="18"/>
              </w:rPr>
              <w:t>Decision Evaluation and Enterprise Decision projection.</w:t>
            </w:r>
          </w:p>
        </w:tc>
      </w:tr>
      <w:tr>
        <w:tc>
          <w:tcPr>
            <w:tcW w:type="dxa" w:w="2232"/>
            <w:vAlign w:val="center"/>
            <w:tcMar>
              <w:top w:w="90" w:type="dxa"/>
              <w:start w:w="120" w:type="dxa"/>
              <w:bottom w:w="90" w:type="dxa"/>
              <w:end w:w="120" w:type="dxa"/>
            </w:tcMar>
            <w:shd w:fill="F8FAFC"/>
          </w:tcPr>
          <w:p>
            <w:pPr>
              <w:spacing w:after="0"/>
            </w:pPr>
            <w:r>
              <w:t>GEM-001 v1.1</w:t>
            </w:r>
          </w:p>
        </w:tc>
        <w:tc>
          <w:tcPr>
            <w:tcW w:type="dxa" w:w="7128"/>
            <w:vAlign w:val="center"/>
            <w:tcMar>
              <w:top w:w="90" w:type="dxa"/>
              <w:start w:w="120" w:type="dxa"/>
              <w:bottom w:w="90" w:type="dxa"/>
              <w:end w:w="120" w:type="dxa"/>
            </w:tcMar>
            <w:shd w:fill="F8FAFC"/>
          </w:tcPr>
          <w:p>
            <w:pPr>
              <w:spacing w:after="0"/>
            </w:pPr>
            <w:r/>
            <w:r>
              <w:rPr>
                <w:rFonts w:ascii="Calibri" w:hAnsi="Calibri"/>
                <w:b w:val="0"/>
                <w:sz w:val="18"/>
              </w:rPr>
              <w:t>Exception Authorization contract.</w:t>
            </w:r>
          </w:p>
        </w:tc>
      </w:tr>
      <w:tr>
        <w:tc>
          <w:tcPr>
            <w:tcW w:type="dxa" w:w="2232"/>
            <w:vAlign w:val="center"/>
            <w:tcMar>
              <w:top w:w="90" w:type="dxa"/>
              <w:start w:w="120" w:type="dxa"/>
              <w:bottom w:w="90" w:type="dxa"/>
              <w:end w:w="120" w:type="dxa"/>
            </w:tcMar>
          </w:tcPr>
          <w:p>
            <w:pPr>
              <w:spacing w:after="0"/>
            </w:pPr>
            <w:r>
              <w:t>GRM-001 v1.2</w:t>
            </w:r>
          </w:p>
        </w:tc>
        <w:tc>
          <w:tcPr>
            <w:tcW w:type="dxa" w:w="7128"/>
            <w:vAlign w:val="center"/>
            <w:tcMar>
              <w:top w:w="90" w:type="dxa"/>
              <w:start w:w="120" w:type="dxa"/>
              <w:bottom w:w="90" w:type="dxa"/>
              <w:end w:w="120" w:type="dxa"/>
            </w:tcMar>
          </w:tcPr>
          <w:p>
            <w:pPr>
              <w:spacing w:after="0"/>
            </w:pPr>
            <w:r/>
            <w:r>
              <w:rPr>
                <w:rFonts w:ascii="Calibri" w:hAnsi="Calibri"/>
                <w:b w:val="0"/>
                <w:sz w:val="18"/>
              </w:rPr>
              <w:t>Governance Evaluation, Attestation, and Enterprise Trust semantics.</w:t>
            </w:r>
          </w:p>
        </w:tc>
      </w:tr>
      <w:tr>
        <w:tc>
          <w:tcPr>
            <w:tcW w:type="dxa" w:w="2232"/>
            <w:vAlign w:val="center"/>
            <w:tcMar>
              <w:top w:w="90" w:type="dxa"/>
              <w:start w:w="120" w:type="dxa"/>
              <w:bottom w:w="90" w:type="dxa"/>
              <w:end w:w="120" w:type="dxa"/>
            </w:tcMar>
            <w:shd w:fill="F8FAFC"/>
          </w:tcPr>
          <w:p>
            <w:pPr>
              <w:spacing w:after="0"/>
            </w:pPr>
            <w:r>
              <w:t>EIC-001 v1.2; EOM-001 v1.2; ESM-001 v1.2</w:t>
            </w:r>
          </w:p>
        </w:tc>
        <w:tc>
          <w:tcPr>
            <w:tcW w:type="dxa" w:w="7128"/>
            <w:vAlign w:val="center"/>
            <w:tcMar>
              <w:top w:w="90" w:type="dxa"/>
              <w:start w:w="120" w:type="dxa"/>
              <w:bottom w:w="90" w:type="dxa"/>
              <w:end w:w="120" w:type="dxa"/>
            </w:tcMar>
            <w:shd w:fill="F8FAFC"/>
          </w:tcPr>
          <w:p>
            <w:pPr>
              <w:spacing w:after="0"/>
            </w:pPr>
            <w:r/>
            <w:r>
              <w:rPr>
                <w:rFonts w:ascii="Calibri" w:hAnsi="Calibri"/>
                <w:b w:val="0"/>
                <w:sz w:val="18"/>
              </w:rPr>
              <w:t>Runtime boundary that remains outside canonical business projection.</w:t>
            </w:r>
          </w:p>
        </w:tc>
      </w:tr>
      <w:tr>
        <w:tc>
          <w:tcPr>
            <w:tcW w:type="dxa" w:w="2232"/>
            <w:vAlign w:val="center"/>
            <w:tcMar>
              <w:top w:w="90" w:type="dxa"/>
              <w:start w:w="120" w:type="dxa"/>
              <w:bottom w:w="90" w:type="dxa"/>
              <w:end w:w="120" w:type="dxa"/>
            </w:tcMar>
          </w:tcPr>
          <w:p>
            <w:pPr>
              <w:spacing w:after="0"/>
            </w:pPr>
            <w:r>
              <w:t>PAD-001 v1.4</w:t>
            </w:r>
          </w:p>
        </w:tc>
        <w:tc>
          <w:tcPr>
            <w:tcW w:type="dxa" w:w="7128"/>
            <w:vAlign w:val="center"/>
            <w:tcMar>
              <w:top w:w="90" w:type="dxa"/>
              <w:start w:w="120" w:type="dxa"/>
              <w:bottom w:w="90" w:type="dxa"/>
              <w:end w:w="120" w:type="dxa"/>
            </w:tcMar>
          </w:tcPr>
          <w:p>
            <w:pPr>
              <w:spacing w:after="0"/>
            </w:pPr>
            <w:r/>
            <w:r>
              <w:rPr>
                <w:rFonts w:ascii="Calibri" w:hAnsi="Calibri"/>
                <w:b w:val="0"/>
                <w:sz w:val="18"/>
              </w:rPr>
              <w:t>Product access boundary and runtime observation contract.</w:t>
            </w:r>
          </w:p>
        </w:tc>
      </w:tr>
    </w:tbl>
    <w:p>
      <w:pPr>
        <w:spacing w:after="20"/>
      </w:pPr>
    </w:p>
    <w:p>
      <w:pPr>
        <w:pStyle w:val="Heading1"/>
      </w:pPr>
      <w:r>
        <w:t>13. Architecture Drift Validation</w:t>
      </w:r>
    </w:p>
    <w:p>
      <w:pPr>
        <w:pStyle w:val="ListBullet"/>
      </w:pPr>
      <w:r>
        <w:t>No business entity is introduced or modified.</w:t>
      </w:r>
    </w:p>
    <w:p>
      <w:pPr>
        <w:pStyle w:val="ListBullet"/>
      </w:pPr>
      <w:r>
        <w:t>No canonical attribute or relationship is introduced or modified.</w:t>
      </w:r>
    </w:p>
    <w:p>
      <w:pPr>
        <w:pStyle w:val="ListBullet"/>
      </w:pPr>
      <w:r>
        <w:t>No RFC is modified or bypassed.</w:t>
      </w:r>
    </w:p>
    <w:p>
      <w:pPr>
        <w:pStyle w:val="ListBullet"/>
      </w:pPr>
      <w:r>
        <w:t>No BCS business semantics are redefined.</w:t>
      </w:r>
    </w:p>
    <w:p>
      <w:pPr>
        <w:pStyle w:val="ListBullet"/>
      </w:pPr>
      <w:r>
        <w:t>No architecture layer is bypassed.</w:t>
      </w:r>
    </w:p>
    <w:p>
      <w:pPr>
        <w:pStyle w:val="ListBullet"/>
      </w:pPr>
      <w:r>
        <w:t>No implementation technology is introduced.</w:t>
      </w:r>
    </w:p>
    <w:p>
      <w:pPr>
        <w:pStyle w:val="ListBullet"/>
      </w:pPr>
      <w:r>
        <w:t>CAM-001 defines mapping and precedence only.</w:t>
      </w:r>
    </w:p>
    <w:p>
      <w:pPr>
        <w:pStyle w:val="Heading1"/>
      </w:pPr>
      <w:r>
        <w:t>14. Decision Summary</w:t>
      </w:r>
    </w:p>
    <w:p>
      <w:r>
        <w:rPr>
          <w:b/>
        </w:rPr>
        <w:t>Immutable cognitive records preserve how enterprise understanding was evaluated. Projected business outcomes express the standing established by those records. The CEO remains structural enterprise reality, and runtime remains operational execution.</w:t>
      </w:r>
    </w:p>
    <w:p>
      <w:r>
        <w:t>These planes are related through explicit BCS-governed projection, but they are never interchangeable.</w:t>
      </w: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6E78"/>
        <w:sz w:val="16"/>
      </w:rPr>
      <w:t xml:space="preserve">CTEC Architecture  |  FROZEN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46E78"/>
        <w:sz w:val="16"/>
      </w:rPr>
      <w:t>CAM-001  |  CANONICAL PROJECTION MODEL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434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CAM-001 — Canonical Projection Model</dc:title>
  <dc:subject>Mapping immutable cognitive records to authoritative business outcomes</dc:subject>
  <dc:creator>CTEC Architecture</dc:creator>
  <cp:keywords>CTEC, ECOM, canonical projection, cognitive records, business outcomes</cp:keywords>
  <dc:description>Dependency reconciliation clarification: current BCS and runtime authorities; projection semantics unchanged.</dc:description>
  <cp:lastModifiedBy/>
  <cp:revision>1</cp:revision>
  <dcterms:created xsi:type="dcterms:W3CDTF">2013-12-23T23:15:00Z</dcterms:created>
  <dcterms:modified xsi:type="dcterms:W3CDTF">2013-12-23T23:15:00Z</dcterms:modified>
  <cp:category/>
  <cp:version>1.1</cp:version>
</cp:coreProperties>
</file>