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80"/>
        <w:jc w:val="center"/>
        <w:pBdr>
          <w:bottom w:val="single" w:sz="12" w:space="12" w:color="4472C4"/>
        </w:pBdr>
      </w:pPr>
      <w:r>
        <w:rPr>
          <w:rFonts w:ascii="Aptos" w:hAnsi="Aptos"/>
          <w:b w:val="0"/>
          <w:color w:val="1F4E79"/>
          <w:sz w:val="52"/>
        </w:rPr>
        <w:t>ESM-001 — Cognitive Engine</w:t>
        <w:br/>
        <w:t>Execution State Architecture</w:t>
      </w:r>
    </w:p>
    <w:p>
      <w:pPr>
        <w:spacing w:after="40"/>
        <w:jc w:val="center"/>
      </w:pPr>
      <w:r>
        <w:t>Version 1.2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Status: FROZEN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Document Type: Runtime Architecture Specification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Authority: Cognitive Engine Runtime Architecture</w:t>
      </w:r>
    </w:p>
    <w:p>
      <w:pPr>
        <w:pStyle w:val="Heading1"/>
      </w:pPr>
      <w:r>
        <w:t>Document Classification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3168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Item</w:t>
            </w:r>
          </w:p>
        </w:tc>
        <w:tc>
          <w:tcPr>
            <w:tcW w:type="dxa" w:w="5472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Document ID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ESM-001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Title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 Execution State Architecture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Version</w:t>
            </w:r>
          </w:p>
        </w:tc>
        <w:tc>
          <w:tcPr>
            <w:tcW w:type="dxa" w:w="5472"/>
          </w:tcPr>
          <w:p>
            <w:r>
              <w:t>1.2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Status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FROZEN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Document Type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Runtime Architecture Specification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Authority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 Runtime Architecture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Depends On</w:t>
            </w:r>
          </w:p>
        </w:tc>
        <w:tc>
          <w:tcPr>
            <w:tcW w:type="dxa" w:w="5472"/>
          </w:tcPr>
          <w:p>
            <w:r>
              <w:t>EAH-001, RFC-010, RFC-011, CDS-001, EIC-001 v1.2, EOM-001 v1.2, PAD-001 v1.4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Consumed By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CDD-010, PAD-001</w:t>
            </w:r>
          </w:p>
        </w:tc>
      </w:tr>
    </w:tbl>
    <w:p/>
    <w:p>
      <w:pPr>
        <w:pStyle w:val="Heading1"/>
      </w:pPr>
      <w:r>
        <w:t>Revision History</w:t>
      </w:r>
    </w:p>
    <w:p>
      <w:r>
        <w:t>Version 1.2 — Dependency Reconciliation Clarification Release. Defines post-admission execution, separates rejection from failure, clarifies retry and transition-history immutability, and prohibits cancellation semantics.</w:t>
      </w:r>
    </w:p>
    <w:p>
      <w:pPr>
        <w:pStyle w:val="Heading1"/>
      </w:pPr>
      <w:r>
        <w:t>1. Executive Summary</w:t>
      </w:r>
    </w:p>
    <w:p>
      <w:pPr>
        <w:pStyle w:val="Heading2"/>
      </w:pPr>
      <w:r>
        <w:t>Purpose</w:t>
      </w:r>
    </w:p>
    <w:p>
      <w:r>
        <w:rPr>
          <w:rFonts w:ascii="Georgia" w:hAnsi="Georgia"/>
          <w:b w:val="0"/>
          <w:sz w:val="22"/>
        </w:rPr>
        <w:t>The Cognitive Engine Execution State Architecture defines the authoritative execution state model governing runtime execution within the CTEC Cognitive Engine.</w:t>
      </w:r>
    </w:p>
    <w:p>
      <w:r>
        <w:rPr>
          <w:rFonts w:ascii="Georgia" w:hAnsi="Georgia"/>
          <w:b w:val="0"/>
          <w:sz w:val="22"/>
        </w:rPr>
        <w:t>This specification establishes: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state semantics;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state ownership;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state transitions;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terminal-state rules;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observation boundaries; and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completion semantics.</w:t>
      </w:r>
    </w:p>
    <w:p>
      <w:r>
        <w:rPr>
          <w:rFonts w:ascii="Georgia" w:hAnsi="Georgia"/>
          <w:b w:val="0"/>
          <w:sz w:val="22"/>
        </w:rPr>
        <w:t>This specification does not define: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workflow implementation;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orchestration technology;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persistence;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APIs;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transport;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runtime storage.</w:t>
      </w:r>
    </w:p>
    <w:p>
      <w:pPr>
        <w:pStyle w:val="Heading1"/>
      </w:pPr>
      <w:r>
        <w:t>2. Architectural Position</w:t>
      </w:r>
    </w:p>
    <w:p>
      <w:pPr>
        <w:jc w:val="center"/>
      </w:pPr>
      <w:r>
        <w:rPr>
          <w:rFonts w:ascii="Courier New" w:hAnsi="Courier New"/>
          <w:b w:val="0"/>
          <w:sz w:val="20"/>
        </w:rPr>
        <w:t>Product Layer</w:t>
        <w:br/>
        <w:t>│</w:t>
        <w:br/>
        <w:t>▼</w:t>
        <w:br/>
        <w:t>Product Access Protocol</w:t>
        <w:br/>
        <w:t>│</w:t>
        <w:br/>
        <w:t>▼</w:t>
        <w:br/>
        <w:t>Engine Access Facade</w:t>
        <w:br/>
        <w:t>│</w:t>
        <w:br/>
        <w:t>▼</w:t>
        <w:br/>
        <w:t>Cognitive Engine Invocation Architecture</w:t>
        <w:br/>
        <w:t>│</w:t>
        <w:br/>
        <w:t>▼</w:t>
        <w:br/>
        <w:t>Cognitive Engine Orchestration Architecture</w:t>
        <w:br/>
        <w:t>│</w:t>
        <w:br/>
        <w:t>▼</w:t>
        <w:br/>
        <w:t>Cognitive Engine Execution State Architecture</w:t>
        <w:br/>
        <w:t>│</w:t>
        <w:br/>
        <w:t>▼</w:t>
        <w:br/>
        <w:t>Cognitive Capabilities</w:t>
      </w:r>
    </w:p>
    <w:p>
      <w:pPr>
        <w:pStyle w:val="Heading1"/>
      </w:pPr>
      <w:r>
        <w:t>3. Scope</w:t>
      </w:r>
    </w:p>
    <w:p>
      <w:pPr>
        <w:pStyle w:val="Heading2"/>
      </w:pPr>
      <w:r>
        <w:t>ESM Owns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state definitions;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state semantics;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valid transitions;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terminal-state semantics;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state ownership;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state visibility.</w:t>
      </w:r>
    </w:p>
    <w:p>
      <w:pPr>
        <w:pStyle w:val="Heading2"/>
      </w:pPr>
      <w:r>
        <w:t>ESM Does Not Own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business semantics;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orchestration;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capability sequencing;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persistence;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REST;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transport;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implementation technology.</w:t>
      </w:r>
    </w:p>
    <w:p>
      <w:pPr>
        <w:pStyle w:val="Heading1"/>
      </w:pPr>
      <w:r>
        <w:t>4. Execution State Principles</w:t>
      </w:r>
    </w:p>
    <w:p>
      <w:pPr>
        <w:pStyle w:val="Heading2"/>
      </w:pPr>
      <w:r>
        <w:t>ESP-001 — Single Current Execution State</w:t>
      </w:r>
    </w:p>
    <w:p>
      <w:r>
        <w:rPr>
          <w:rFonts w:ascii="Georgia" w:hAnsi="Georgia"/>
          <w:b w:val="0"/>
          <w:sz w:val="22"/>
        </w:rPr>
        <w:t>Every execution SHALL have exactly one current execution state.</w:t>
      </w:r>
    </w:p>
    <w:p>
      <w:pPr>
        <w:pStyle w:val="Heading2"/>
      </w:pPr>
      <w:r>
        <w:t>ESP-002 — Engine Ownership</w:t>
      </w:r>
    </w:p>
    <w:p>
      <w:r>
        <w:rPr>
          <w:rFonts w:ascii="Georgia" w:hAnsi="Georgia"/>
          <w:b w:val="0"/>
          <w:sz w:val="22"/>
        </w:rPr>
        <w:t>The Cognitive Engine exclusively owns execution state.</w:t>
      </w:r>
    </w:p>
    <w:p>
      <w:r>
        <w:rPr>
          <w:rFonts w:ascii="Georgia" w:hAnsi="Georgia"/>
          <w:b w:val="0"/>
          <w:sz w:val="22"/>
        </w:rPr>
        <w:t>No external component may modify execution state.</w:t>
      </w:r>
    </w:p>
    <w:p>
      <w:pPr>
        <w:pStyle w:val="Heading2"/>
      </w:pPr>
      <w:r>
        <w:t>ESP-003 — State Isolation</w:t>
      </w:r>
    </w:p>
    <w:p>
      <w:r>
        <w:rPr>
          <w:rFonts w:ascii="Georgia" w:hAnsi="Georgia"/>
          <w:b w:val="0"/>
          <w:sz w:val="22"/>
        </w:rPr>
        <w:t>Execution states SHALL remain independent of business capability semantics.</w:t>
      </w:r>
    </w:p>
    <w:p>
      <w:pPr>
        <w:pStyle w:val="Heading2"/>
      </w:pPr>
      <w:r>
        <w:t>ESP-004 — Observable State</w:t>
      </w:r>
    </w:p>
    <w:p>
      <w:r>
        <w:rPr>
          <w:rFonts w:ascii="Georgia" w:hAnsi="Georgia"/>
          <w:b w:val="0"/>
          <w:sz w:val="22"/>
        </w:rPr>
        <w:t>External runtime consumers may observe execution state only through authorized runtime references.</w:t>
      </w:r>
    </w:p>
    <w:p>
      <w:pPr>
        <w:pStyle w:val="Heading2"/>
      </w:pPr>
      <w:r>
        <w:t>ESP-005 — Deterministic State Evolution</w:t>
      </w:r>
    </w:p>
    <w:p>
      <w:r>
        <w:rPr>
          <w:rFonts w:ascii="Georgia" w:hAnsi="Georgia"/>
          <w:b w:val="0"/>
          <w:sz w:val="22"/>
        </w:rPr>
        <w:t>Equivalent executions SHALL progress through equivalent execution states.</w:t>
      </w:r>
    </w:p>
    <w:p>
      <w:pPr>
        <w:pStyle w:val="Heading2"/>
      </w:pPr>
      <w:r>
        <w:t>ESP-006 — Terminal State Finality</w:t>
      </w:r>
    </w:p>
    <w:p>
      <w:r>
        <w:rPr>
          <w:rFonts w:ascii="Georgia" w:hAnsi="Georgia"/>
          <w:b w:val="0"/>
          <w:sz w:val="22"/>
        </w:rPr>
        <w:t>Terminal execution states SHALL NOT transition to another execution state.</w:t>
      </w:r>
    </w:p>
    <w:p>
      <w:r>
        <w:br w:type="page"/>
      </w:r>
    </w:p>
    <w:p>
      <w:pPr>
        <w:pStyle w:val="Heading1"/>
      </w:pPr>
      <w:r>
        <w:t>5. Execution States</w:t>
      </w:r>
    </w:p>
    <w:p>
      <w:pPr/>
      <w:r>
        <w:t>Execution begins only after EIC-001 successfully admits an invocation and establishes Accepted. Received, Validated, and Rejected are invocation statuses owned by EIC-001; they are not ESM execution states.</w:t>
      </w:r>
    </w:p>
    <w:p>
      <w:pPr/>
      <w:r>
        <w:t>The execution architecture defines exactly four execution states:</w:t>
      </w:r>
    </w:p>
    <w:p>
      <w:pPr/>
      <w:r>
        <w:t>Accepted — invocation admitted by EIC-001 and transferred to EOM-001.</w:t>
      </w:r>
    </w:p>
    <w:p>
      <w:pPr/>
      <w:r>
        <w:t>Executing — EOM-001 is coordinating execution.</w:t>
      </w:r>
    </w:p>
    <w:p>
      <w:pPr/>
      <w:r>
        <w:t>Completed — execution successfully completed.</w:t>
      </w:r>
    </w:p>
    <w:p>
      <w:pPr/>
      <w:r>
        <w:t>Failed — execution terminated unsuccessfully.</w:t>
      </w:r>
    </w:p>
    <w:p>
      <w:pPr/>
      <w:r>
        <w:t>No additional architectural execution states are defined.</w:t>
      </w:r>
    </w:p>
    <w:p>
      <w:pPr>
        <w:pStyle w:val="Heading1"/>
      </w:pPr>
      <w:r>
        <w:t>6. State Ownership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3168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State Information</w:t>
            </w:r>
          </w:p>
        </w:tc>
        <w:tc>
          <w:tcPr>
            <w:tcW w:type="dxa" w:w="5472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Owner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Execution State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State Transition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State Observation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Runtime Consumer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State Correlation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Runtime Consumer</w:t>
            </w:r>
          </w:p>
        </w:tc>
      </w:tr>
    </w:tbl>
    <w:p/>
    <w:p>
      <w:r>
        <w:rPr>
          <w:rFonts w:ascii="Georgia" w:hAnsi="Georgia"/>
          <w:b w:val="0"/>
          <w:sz w:val="22"/>
        </w:rPr>
        <w:t>Execution ownership SHALL remain exclusively within the Cognitive Engine.</w:t>
      </w:r>
    </w:p>
    <w:p>
      <w:pPr>
        <w:pStyle w:val="Heading1"/>
      </w:pPr>
      <w:r>
        <w:t>7. Valid State Transitions</w:t>
      </w:r>
    </w:p>
    <w:p>
      <w:pPr/>
      <w:r>
        <w:t>The execution state model permits only the following transitions:</w:t>
      </w:r>
    </w:p>
    <w:p>
      <w:pPr>
        <w:jc w:val="center"/>
      </w:pPr>
      <w:r>
        <w:rPr>
          <w:rFonts w:ascii="Courier New" w:hAnsi="Courier New"/>
          <w:sz w:val="20"/>
        </w:rPr>
        <w:t>Accepted</w:t>
        <w:br/>
        <w:t xml:space="preserve">   │</w:t>
        <w:br/>
        <w:t xml:space="preserve">   ▼</w:t>
        <w:br/>
        <w:t>Executing</w:t>
        <w:br/>
        <w:t xml:space="preserve">  ├──────────────┐</w:t>
        <w:br/>
        <w:t xml:space="preserve">  ▼              ▼</w:t>
        <w:br/>
        <w:t>Completed      Failed</w:t>
      </w:r>
    </w:p>
    <w:p>
      <w:pPr/>
      <w:r>
        <w:t>Any transition not shown above is architecturally invalid. Invocation rejection occurs before execution and is governed by EIC-001.</w:t>
      </w:r>
    </w:p>
    <w:p>
      <w:pPr>
        <w:pStyle w:val="Heading1"/>
      </w:pPr>
      <w:r>
        <w:t>8. Terminal States</w:t>
      </w:r>
    </w:p>
    <w:p>
      <w:r>
        <w:rPr>
          <w:rFonts w:ascii="Georgia" w:hAnsi="Georgia"/>
          <w:b w:val="0"/>
          <w:sz w:val="22"/>
        </w:rPr>
        <w:t>The following execution states are terminal: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Completed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Failed</w:t>
      </w:r>
    </w:p>
    <w:p>
      <w:r>
        <w:rPr>
          <w:rFonts w:ascii="Georgia" w:hAnsi="Georgia"/>
          <w:b w:val="0"/>
          <w:sz w:val="22"/>
        </w:rPr>
        <w:t>Terminal states SHALL NOT transition to any other state.</w:t>
      </w:r>
    </w:p>
    <w:p>
      <w:r>
        <w:rPr>
          <w:rFonts w:ascii="Georgia" w:hAnsi="Georgia"/>
          <w:b w:val="0"/>
          <w:sz w:val="22"/>
        </w:rPr>
        <w:t>A new execution requires a new Execution Identifier.</w:t>
      </w:r>
    </w:p>
    <w:p>
      <w:pPr>
        <w:pStyle w:val="Heading1"/>
      </w:pPr>
      <w:r>
        <w:t>9. Execution Observation</w:t>
      </w:r>
    </w:p>
    <w:p>
      <w:r>
        <w:rPr>
          <w:rFonts w:ascii="Georgia" w:hAnsi="Georgia"/>
          <w:b w:val="0"/>
          <w:sz w:val="22"/>
        </w:rPr>
        <w:t>Runtime consumers may observe: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current execution state;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completion;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failure.</w:t>
      </w:r>
    </w:p>
    <w:p>
      <w:r>
        <w:rPr>
          <w:rFonts w:ascii="Georgia" w:hAnsi="Georgia"/>
          <w:b w:val="0"/>
          <w:sz w:val="22"/>
        </w:rPr>
        <w:t>Runtime consumers SHALL NOT: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modify execution state;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request state transitions;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skip execution states.</w:t>
      </w:r>
    </w:p>
    <w:p>
      <w:pPr>
        <w:pStyle w:val="Heading1"/>
      </w:pPr>
      <w:r>
        <w:t>10. Execution Completion</w:t>
      </w:r>
    </w:p>
    <w:p>
      <w:r>
        <w:rPr>
          <w:rFonts w:ascii="Georgia" w:hAnsi="Georgia"/>
          <w:b w:val="0"/>
          <w:sz w:val="22"/>
        </w:rPr>
        <w:t>Execution is complete only when the Cognitive Engine determines that orchestration has completed successfully.</w:t>
      </w:r>
    </w:p>
    <w:p>
      <w:r>
        <w:rPr>
          <w:rFonts w:ascii="Georgia" w:hAnsi="Georgia"/>
          <w:b w:val="0"/>
          <w:sz w:val="22"/>
        </w:rPr>
        <w:t>Completion SHALL NOT be determined externally.</w:t>
      </w:r>
    </w:p>
    <w:p>
      <w:pPr>
        <w:pStyle w:val="Heading1"/>
      </w:pPr>
      <w:r>
        <w:t>11. Execution Failure</w:t>
      </w:r>
    </w:p>
    <w:p>
      <w:r>
        <w:rPr>
          <w:rFonts w:ascii="Georgia" w:hAnsi="Georgia"/>
          <w:b w:val="0"/>
          <w:sz w:val="22"/>
        </w:rPr>
        <w:t>Execution failure is determined exclusively by the Cognitive Engine.</w:t>
      </w:r>
    </w:p>
    <w:p>
      <w:r>
        <w:rPr>
          <w:rFonts w:ascii="Georgia" w:hAnsi="Georgia"/>
          <w:b w:val="0"/>
          <w:sz w:val="22"/>
        </w:rPr>
        <w:t>Failure does not imply business rejection.</w:t>
      </w:r>
    </w:p>
    <w:p>
      <w:r>
        <w:rPr>
          <w:rFonts w:ascii="Georgia" w:hAnsi="Georgia"/>
          <w:b w:val="0"/>
          <w:sz w:val="22"/>
        </w:rPr>
        <w:t>Business outcomes remain governed by the Business Capability Specifications.</w:t>
      </w:r>
    </w:p>
    <w:p>
      <w:pPr>
        <w:pStyle w:val="Heading1"/>
      </w:pPr>
      <w:r>
        <w:t>12. Retry Semantics</w:t>
      </w:r>
    </w:p>
    <w:p>
      <w:pPr/>
      <w:r>
        <w:t>External retry does not alter an existing execution.</w:t>
      </w:r>
    </w:p>
    <w:p>
      <w:pPr/>
      <w:r>
        <w:t>External retry creates a new execution with a new Execution Identifier. Previous executions and their transition histories remain immutable.</w:t>
      </w:r>
    </w:p>
    <w:p>
      <w:pPr/>
      <w:r>
        <w:t>EOM-001 internal capability retry occurs within the same execution and remains externally invisible. PAD idempotent replay returns the existing Execution Identifier and performs no new work.</w:t>
      </w:r>
    </w:p>
    <w:p>
      <w:pPr>
        <w:pStyle w:val="Heading1"/>
      </w:pPr>
      <w:r>
        <w:t>13. Cancellation Semantics</w:t>
      </w:r>
    </w:p>
    <w:p>
      <w:pPr/>
      <w:r>
        <w:t>Cancellation is outside the scope of this architecture. No cancellation semantics are defined in ESM-001.</w:t>
      </w:r>
    </w:p>
    <w:p>
      <w:pPr>
        <w:pStyle w:val="Heading1"/>
      </w:pPr>
      <w:r>
        <w:t>14. Runtime References</w:t>
      </w:r>
    </w:p>
    <w:p>
      <w:r>
        <w:rPr>
          <w:rFonts w:ascii="Georgia" w:hAnsi="Georgia"/>
          <w:b w:val="0"/>
          <w:sz w:val="22"/>
        </w:rPr>
        <w:t>Execution state is associated with: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Identifier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Correlation Identifier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Request Identifier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Session Identifier</w:t>
      </w:r>
    </w:p>
    <w:p>
      <w:r>
        <w:rPr>
          <w:rFonts w:ascii="Georgia" w:hAnsi="Georgia"/>
          <w:b w:val="0"/>
          <w:sz w:val="22"/>
        </w:rPr>
        <w:t>These identifiers remain stable throughout a single execution.</w:t>
      </w:r>
    </w:p>
    <w:p>
      <w:pPr>
        <w:pStyle w:val="Heading1"/>
      </w:pPr>
      <w:r>
        <w:t>15. Execution Visibility</w:t>
      </w:r>
    </w:p>
    <w:p>
      <w:r>
        <w:rPr>
          <w:rFonts w:ascii="Georgia" w:hAnsi="Georgia"/>
          <w:b w:val="0"/>
          <w:sz w:val="22"/>
        </w:rPr>
        <w:t>Products may observe execution state through authorized runtime references.</w:t>
      </w:r>
    </w:p>
    <w:p>
      <w:r>
        <w:rPr>
          <w:rFonts w:ascii="Georgia" w:hAnsi="Georgia"/>
          <w:b w:val="0"/>
          <w:sz w:val="22"/>
        </w:rPr>
        <w:t>Products SHALL NOT infer internal capability progress from execution state.</w:t>
      </w:r>
    </w:p>
    <w:p>
      <w:r>
        <w:rPr>
          <w:rFonts w:ascii="Georgia" w:hAnsi="Georgia"/>
          <w:b w:val="0"/>
          <w:sz w:val="22"/>
        </w:rPr>
        <w:t>Execution state represents overall runtime progress only.</w:t>
      </w:r>
    </w:p>
    <w:p>
      <w:pPr>
        <w:pStyle w:val="Heading1"/>
      </w:pPr>
      <w:r>
        <w:t>16. Runtime Isolation</w:t>
      </w:r>
    </w:p>
    <w:p>
      <w:r>
        <w:rPr>
          <w:rFonts w:ascii="Georgia" w:hAnsi="Georgia"/>
          <w:b w:val="0"/>
          <w:sz w:val="22"/>
        </w:rPr>
        <w:t>Execution state SHALL remain independent of: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Entity Resolution;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Semantic Resolution;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Assertion;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Knowledge;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Decision;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Governance.</w:t>
      </w:r>
    </w:p>
    <w:p>
      <w:r>
        <w:rPr>
          <w:rFonts w:ascii="Georgia" w:hAnsi="Georgia"/>
          <w:b w:val="0"/>
          <w:sz w:val="22"/>
        </w:rPr>
        <w:t>Capability-specific progress SHALL NOT be externally exposed.</w:t>
      </w:r>
    </w:p>
    <w:p>
      <w:pPr>
        <w:pStyle w:val="Heading1"/>
      </w:pPr>
      <w:r>
        <w:t>17. Error State Semantics</w:t>
      </w:r>
    </w:p>
    <w:p>
      <w:pPr/>
      <w:r>
        <w:t>Failed is the terminal state for unsuccessful execution after admission.</w:t>
      </w:r>
    </w:p>
    <w:p>
      <w:pPr/>
      <w:r>
        <w:t>Protocol rejection, invalid invocation, and validation failure occur before execution under EIC-001. They do not create an Execution Identifier and do not transition to Failed.</w:t>
      </w:r>
    </w:p>
    <w:p>
      <w:pPr/>
      <w:r>
        <w:t>Execution Failure and Runtime Failure after admission may transition Executing to Failed. Business rejection remains distinct and is governed by Business Capability Specifications.</w:t>
      </w:r>
    </w:p>
    <w:p>
      <w:pPr>
        <w:pStyle w:val="Heading1"/>
      </w:pPr>
      <w:r>
        <w:t>18. Versioning</w:t>
      </w:r>
    </w:p>
    <w:p>
      <w:r>
        <w:rPr>
          <w:rFonts w:ascii="Georgia" w:hAnsi="Georgia"/>
          <w:b w:val="0"/>
          <w:sz w:val="22"/>
        </w:rPr>
        <w:t>Execution state semantics SHALL remain version-independent.</w:t>
      </w:r>
    </w:p>
    <w:p>
      <w:r>
        <w:rPr>
          <w:rFonts w:ascii="Georgia" w:hAnsi="Georgia"/>
          <w:b w:val="0"/>
          <w:sz w:val="22"/>
        </w:rPr>
        <w:t>Version identifiers remain governed by EIC-001 and PAD-001.</w:t>
      </w:r>
    </w:p>
    <w:p>
      <w:pPr>
        <w:pStyle w:val="Heading1"/>
      </w:pPr>
      <w:r>
        <w:t>19. Security Boundary</w:t>
      </w:r>
    </w:p>
    <w:p>
      <w:r>
        <w:rPr>
          <w:rFonts w:ascii="Georgia" w:hAnsi="Georgia"/>
          <w:b w:val="0"/>
          <w:sz w:val="22"/>
        </w:rPr>
        <w:t>Execution state visibility is subject to authorized runtime access.</w:t>
      </w:r>
    </w:p>
    <w:p>
      <w:r>
        <w:rPr>
          <w:rFonts w:ascii="Georgia" w:hAnsi="Georgia"/>
          <w:b w:val="0"/>
          <w:sz w:val="22"/>
        </w:rPr>
        <w:t>Authentication and authorization remain outside the scope of this specification.</w:t>
      </w:r>
    </w:p>
    <w:p>
      <w:pPr>
        <w:pStyle w:val="Heading1"/>
      </w:pPr>
      <w:r>
        <w:t>20. Non-Goals</w:t>
      </w:r>
    </w:p>
    <w:p>
      <w:r>
        <w:rPr>
          <w:rFonts w:ascii="Georgia" w:hAnsi="Georgia"/>
          <w:b w:val="0"/>
          <w:sz w:val="22"/>
        </w:rPr>
        <w:t>This specification does not define: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workflow engines;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scheduling;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queues;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persistence;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REST APIs;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DTOs;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transport;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implementation technology.</w:t>
      </w:r>
    </w:p>
    <w:p>
      <w:pPr>
        <w:pStyle w:val="Heading1"/>
      </w:pPr>
      <w:r>
        <w:t>21. Traceability</w:t>
      </w:r>
    </w:p>
    <w:p>
      <w:pPr/>
      <w:r>
        <w:t>ESM-001 v1.2 traces to:</w:t>
      </w:r>
    </w:p>
    <w:p>
      <w:pPr>
        <w:pStyle w:val="ListBullet"/>
      </w:pPr>
      <w:r>
        <w:t>EAH-001</w:t>
      </w:r>
    </w:p>
    <w:p>
      <w:pPr>
        <w:pStyle w:val="ListBullet"/>
      </w:pPr>
      <w:r>
        <w:t>RFC-010</w:t>
      </w:r>
    </w:p>
    <w:p>
      <w:pPr>
        <w:pStyle w:val="ListBullet"/>
      </w:pPr>
      <w:r>
        <w:t>RFC-011</w:t>
      </w:r>
    </w:p>
    <w:p>
      <w:pPr>
        <w:pStyle w:val="ListBullet"/>
      </w:pPr>
      <w:r>
        <w:t>CDS-001</w:t>
      </w:r>
    </w:p>
    <w:p>
      <w:pPr>
        <w:pStyle w:val="ListBullet"/>
      </w:pPr>
      <w:r>
        <w:t>EIC-001 v1.2</w:t>
      </w:r>
    </w:p>
    <w:p>
      <w:pPr>
        <w:pStyle w:val="ListBullet"/>
      </w:pPr>
      <w:r>
        <w:t>EOM-001 v1.2</w:t>
      </w:r>
    </w:p>
    <w:p>
      <w:pPr>
        <w:pStyle w:val="ListBullet"/>
      </w:pPr>
      <w:r>
        <w:t>PAD-001 v1.4</w:t>
      </w:r>
    </w:p>
    <w:p>
      <w:pPr>
        <w:pStyle w:val="Heading1"/>
      </w:pPr>
      <w:r>
        <w:t>22. Glossary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2592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Term</w:t>
            </w:r>
          </w:p>
        </w:tc>
        <w:tc>
          <w:tcPr>
            <w:tcW w:type="dxa" w:w="6048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Definition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Georgia" w:hAnsi="Georgia"/>
                <w:b w:val="0"/>
                <w:sz w:val="22"/>
              </w:rPr>
              <w:t>Execution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b w:val="0"/>
                <w:sz w:val="22"/>
              </w:rPr>
              <w:t>One runtime realization of a Cognitive Engine invocation.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Georgia" w:hAnsi="Georgia"/>
                <w:b w:val="0"/>
                <w:sz w:val="22"/>
              </w:rPr>
              <w:t>Execution State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b w:val="0"/>
                <w:sz w:val="22"/>
              </w:rPr>
              <w:t>The current architectural state of a runtime execution.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Georgia" w:hAnsi="Georgia"/>
                <w:b w:val="0"/>
                <w:sz w:val="22"/>
              </w:rPr>
              <w:t>Terminal State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b w:val="0"/>
                <w:sz w:val="22"/>
              </w:rPr>
              <w:t>A state from which no further state transitions are permitted.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Georgia" w:hAnsi="Georgia"/>
                <w:b w:val="0"/>
                <w:sz w:val="22"/>
              </w:rPr>
              <w:t>Runtime Consumer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b w:val="0"/>
                <w:sz w:val="22"/>
              </w:rPr>
              <w:t>Any authorized component invoking the Cognitive Engine through EIC and PAD.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Georgia" w:hAnsi="Georgia"/>
                <w:b w:val="0"/>
                <w:sz w:val="22"/>
              </w:rPr>
              <w:t>State Observation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b w:val="0"/>
                <w:sz w:val="22"/>
              </w:rPr>
              <w:t>Read-only visibility of execution state through authorized runtime references.</w:t>
            </w:r>
          </w:p>
        </w:tc>
      </w:tr>
    </w:tbl>
    <w:p/>
    <w:p>
      <w:pPr>
        <w:pStyle w:val="Heading1"/>
      </w:pPr>
      <w:r>
        <w:t>23. Architecture Philosophy</w:t>
      </w:r>
    </w:p>
    <w:p>
      <w:r>
        <w:rPr>
          <w:rFonts w:ascii="Georgia" w:hAnsi="Georgia"/>
          <w:b w:val="0"/>
          <w:sz w:val="22"/>
        </w:rPr>
        <w:t>The Cognitive Engine Execution State Architecture separates execution progress from business meaning.</w:t>
      </w:r>
    </w:p>
    <w:p>
      <w:r>
        <w:rPr>
          <w:rFonts w:ascii="Georgia" w:hAnsi="Georgia"/>
          <w:b w:val="0"/>
          <w:sz w:val="22"/>
        </w:rPr>
        <w:t>Execution states describe how far a runtime execution has progressed.</w:t>
      </w:r>
    </w:p>
    <w:p>
      <w:r>
        <w:rPr>
          <w:rFonts w:ascii="Georgia" w:hAnsi="Georgia"/>
          <w:b w:val="0"/>
          <w:sz w:val="22"/>
        </w:rPr>
        <w:t>Business capabilities determine what enterprise understanding is established.</w:t>
      </w:r>
    </w:p>
    <w:p>
      <w:r>
        <w:rPr>
          <w:rFonts w:ascii="Georgia" w:hAnsi="Georgia"/>
          <w:b w:val="0"/>
          <w:sz w:val="22"/>
        </w:rPr>
        <w:t>Products observe execution.</w:t>
      </w:r>
    </w:p>
    <w:p>
      <w:r>
        <w:rPr>
          <w:rFonts w:ascii="Georgia" w:hAnsi="Georgia"/>
          <w:b w:val="0"/>
          <w:sz w:val="22"/>
        </w:rPr>
        <w:t>The Cognitive Engine owns execution.</w:t>
      </w:r>
    </w:p>
    <w:p>
      <w:r>
        <w:rPr>
          <w:b w:val="0"/>
        </w:rPr>
        <w:t>Execution state transition history remains immutable. The current execution state evolves only through valid ESM transitions and remains deterministic and isolated from business semantics, preserving a stable runtime model for all products built on the CTEC platform.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4472C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ESM-001 — Cognitive Engine Execution State Architecture</dc:title>
  <dc:subject/>
  <dc:creator>CTEC Architecture</dc:creator>
  <cp:keywords/>
  <dc:description>Dependency reconciliation clarification: PAD-001 v1.3 compatibility confirmed.</dc:description>
  <cp:lastModifiedBy/>
  <cp:revision>1</cp:revision>
  <dcterms:created xsi:type="dcterms:W3CDTF">2013-12-23T23:15:00Z</dcterms:created>
  <dcterms:modified xsi:type="dcterms:W3CDTF">2013-12-23T23:15:00Z</dcterms:modified>
  <cp:category/>
  <cp:version>1.2</cp:version>
</cp:coreProperties>
</file>