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GRM-001 — Governance Business Capability Specification</w:t>
      </w:r>
    </w:p>
    <w:p>
      <w:pPr>
        <w:jc w:val="center"/>
      </w:pPr>
      <w:r>
        <w:t>Version 1.2</w:t>
        <w:br/>
        <w:t>Status: FROZEN</w:t>
        <w:br/>
        <w:t>Release Type: Clarification Release</w:t>
        <w:br/>
        <w:t>Document Type: Business Capability Specification (BCS)</w:t>
        <w:br/>
        <w:t>Authoritative for: CDD-009</w:t>
      </w:r>
    </w:p>
    <w:p>
      <w:pPr>
        <w:pStyle w:val="Heading1"/>
        <w:keepNext/>
      </w:pPr>
      <w:r>
        <w:t>1. Executive Summary</w:t>
      </w:r>
    </w:p>
    <w:p>
      <w:pPr>
        <w:pStyle w:val="Heading2"/>
        <w:keepNext/>
      </w:pPr>
      <w:r>
        <w:t>Purpose</w:t>
      </w:r>
    </w:p>
    <w:p>
      <w:pPr/>
      <w:r>
        <w:t>The Governance capability evaluates whether enterprise understanding has been established, maintained, and evolved in accordance with governing enterprise policies.</w:t>
      </w:r>
    </w:p>
    <w:p>
      <w:pPr/>
      <w:r>
        <w:t>Governance consumes immutable cognitive records produced by the Enterprise Entity Resolution, Semantic Resolution, Assertion, Knowledge, and Decision capabilities.</w:t>
      </w:r>
    </w:p>
    <w:p>
      <w:pPr/>
      <w:r>
        <w:t>Governance does not create enterprise understanding.</w:t>
      </w:r>
    </w:p>
    <w:p>
      <w:pPr/>
      <w:r>
        <w:t>Governance does not modify enterprise understanding.</w:t>
      </w:r>
    </w:p>
    <w:p>
      <w:pPr/>
      <w:r>
        <w:t>Governance produces immutable Governance Evaluation Records. Every Governance Evaluation establishes exactly one outcome-neutral Governance Attestation reflecting the recorded Governance Outcome.</w:t>
      </w:r>
    </w:p>
    <w:p>
      <w:pPr/>
      <w:r>
        <w:t>Governance Attestations collectively establish Enterprise Trust across enterprise understanding, including both positive and negative attestations.</w:t>
      </w:r>
    </w:p>
    <w:p>
      <w:pPr/>
      <w:r>
        <w:t>Governance evaluates enterprise understanding. Operational systems determine enterprise action.</w:t>
      </w:r>
    </w:p>
    <w:p>
      <w:pPr>
        <w:pStyle w:val="Heading1"/>
        <w:keepNext/>
      </w:pPr>
      <w:r>
        <w:t>2. Business Purpose</w:t>
      </w:r>
    </w:p>
    <w:p>
      <w:pPr/>
      <w:r>
        <w:t>The Governance capability provides enterprise assurance that enterprise understanding complies with governing enterprise policies.</w:t>
      </w:r>
    </w:p>
    <w:p>
      <w:pPr/>
      <w:r>
        <w:t>The enterprise cognitive pipeline is:</w:t>
      </w:r>
    </w:p>
    <w:p>
      <w:pPr/>
      <w:r>
        <w:t>Enterprise Entity Resolution  →  Semantic Resolution  →  Assertion  →  Knowledge  →  Decision</w:t>
      </w:r>
    </w:p>
    <w:p>
      <w:pPr/>
      <w:r>
        <w:t>Governance operates across every stage of enterprise understanding.</w:t>
      </w:r>
    </w:p>
    <w:p>
      <w:pPr/>
      <w:r>
        <w:t>Governance answers one enterprise question:</w:t>
      </w:r>
    </w:p>
    <w:p>
      <w:pPr/>
      <w:r>
        <w:t>Can the enterprise trust this understanding under its governing policies?</w:t>
      </w:r>
    </w:p>
    <w:p>
      <w:pPr/>
      <w:r>
        <w:t>Governance never changes understanding. Governance evaluates understanding.</w:t>
      </w:r>
    </w:p>
    <w:p>
      <w:pPr>
        <w:pStyle w:val="Heading1"/>
        <w:keepNext/>
      </w:pPr>
      <w:r>
        <w:t>3. Capability Boundary</w:t>
      </w:r>
    </w:p>
    <w:p>
      <w:pPr>
        <w:pStyle w:val="Heading2"/>
        <w:keepNext/>
      </w:pPr>
      <w:r>
        <w:t>Governance Owns</w:t>
      </w:r>
    </w:p>
    <w:p>
      <w:pPr>
        <w:pStyle w:val="ListBullet"/>
      </w:pPr>
      <w:r>
        <w:t>Governance Evaluation</w:t>
      </w:r>
    </w:p>
    <w:p>
      <w:pPr>
        <w:pStyle w:val="ListBullet"/>
      </w:pPr>
      <w:r>
        <w:t>Governance Attestation</w:t>
      </w:r>
    </w:p>
    <w:p>
      <w:pPr>
        <w:pStyle w:val="ListBullet"/>
      </w:pPr>
      <w:r>
        <w:t>Governance Evaluation Record</w:t>
      </w:r>
    </w:p>
    <w:p>
      <w:pPr>
        <w:pStyle w:val="ListBullet"/>
      </w:pPr>
      <w:r>
        <w:t>Compliance Evaluation</w:t>
      </w:r>
    </w:p>
    <w:p>
      <w:pPr>
        <w:pStyle w:val="ListBullet"/>
      </w:pPr>
      <w:r>
        <w:t>Exception Evaluation</w:t>
      </w:r>
    </w:p>
    <w:p>
      <w:pPr>
        <w:pStyle w:val="ListBullet"/>
      </w:pPr>
      <w:r>
        <w:t>Governance Confidence</w:t>
      </w:r>
    </w:p>
    <w:p>
      <w:pPr>
        <w:pStyle w:val="ListBullet"/>
      </w:pPr>
      <w:r>
        <w:t>Governance Explanation</w:t>
      </w:r>
    </w:p>
    <w:p>
      <w:pPr>
        <w:pStyle w:val="ListBullet"/>
      </w:pPr>
      <w:r>
        <w:t>Governance History</w:t>
      </w:r>
    </w:p>
    <w:p>
      <w:pPr>
        <w:pStyle w:val="ListBullet"/>
      </w:pPr>
      <w:r>
        <w:t>Governance Traceability</w:t>
      </w:r>
    </w:p>
    <w:p>
      <w:pPr>
        <w:pStyle w:val="Heading2"/>
        <w:keepNext/>
      </w:pPr>
      <w:r>
        <w:t>Governance Does NOT Own</w:t>
      </w:r>
    </w:p>
    <w:p>
      <w:pPr>
        <w:pStyle w:val="ListBullet"/>
      </w:pPr>
      <w:r>
        <w:t>Enterprise Entity Resolution</w:t>
      </w:r>
    </w:p>
    <w:p>
      <w:pPr>
        <w:pStyle w:val="ListBullet"/>
      </w:pPr>
      <w:r>
        <w:t>Semantic Resolution</w:t>
      </w:r>
    </w:p>
    <w:p>
      <w:pPr>
        <w:pStyle w:val="ListBullet"/>
      </w:pPr>
      <w:r>
        <w:t>Assertion</w:t>
      </w:r>
    </w:p>
    <w:p>
      <w:pPr>
        <w:pStyle w:val="ListBullet"/>
      </w:pPr>
      <w:r>
        <w:t>Knowledge</w:t>
      </w:r>
    </w:p>
    <w:p>
      <w:pPr>
        <w:pStyle w:val="ListBullet"/>
      </w:pPr>
      <w:r>
        <w:t>Decision</w:t>
      </w:r>
    </w:p>
    <w:p>
      <w:pPr>
        <w:pStyle w:val="ListBullet"/>
      </w:pPr>
      <w:r>
        <w:t>Policy Authoring</w:t>
      </w:r>
    </w:p>
    <w:p>
      <w:pPr>
        <w:pStyle w:val="ListBullet"/>
      </w:pPr>
      <w:r>
        <w:t>Workflow Execution</w:t>
      </w:r>
    </w:p>
    <w:p>
      <w:pPr>
        <w:pStyle w:val="ListBullet"/>
      </w:pPr>
      <w:r>
        <w:t>ERP Transactions</w:t>
      </w:r>
    </w:p>
    <w:p>
      <w:pPr>
        <w:pStyle w:val="ListBullet"/>
      </w:pPr>
      <w:r>
        <w:t>CRM Transactions</w:t>
      </w:r>
    </w:p>
    <w:p>
      <w:pPr>
        <w:pStyle w:val="ListBullet"/>
      </w:pPr>
      <w:r>
        <w:t>AI Reasoning</w:t>
      </w:r>
    </w:p>
    <w:p>
      <w:pPr>
        <w:pStyle w:val="ListBullet"/>
      </w:pPr>
      <w:r>
        <w:t>AI Decision Making</w:t>
      </w:r>
    </w:p>
    <w:p>
      <w:pPr>
        <w:pStyle w:val="ListBullet"/>
      </w:pPr>
      <w:r>
        <w:t>Operational Automation</w:t>
      </w:r>
    </w:p>
    <w:p>
      <w:pPr>
        <w:pStyle w:val="Heading1"/>
        <w:keepNext/>
      </w:pPr>
      <w:r>
        <w:t>4. Cognitive Principles</w:t>
      </w:r>
    </w:p>
    <w:tbl>
      <w:tblPr>
        <w:tblStyle w:val="TableGrid"/>
        <w:tblW w:type="dxa" w:w="8640"/>
        <w:jc w:val="left"/>
        <w:tblLayout w:type="fixed"/>
        <w:tblLook w:firstColumn="1" w:firstRow="1" w:lastColumn="0" w:lastRow="0" w:noHBand="0" w:noVBand="1" w:val="04A0"/>
      </w:tblPr>
      <w:tblGrid>
        <w:gridCol w:w="1944"/>
        <w:gridCol w:w="6696"/>
      </w:tblGrid>
      <w:tr>
        <w:trPr>
          <w:tblHeader/>
        </w:trPr>
        <w:tc>
          <w:tcPr>
            <w:tcW w:type="dxa" w:w="1944"/>
            <w:vAlign w:val="center"/>
          </w:tcPr>
          <w:p>
            <w:r>
              <w:rPr>
                <w:b/>
              </w:rPr>
              <w:t>ID</w:t>
            </w:r>
          </w:p>
        </w:tc>
        <w:tc>
          <w:tcPr>
            <w:tcW w:type="dxa" w:w="6696"/>
            <w:vAlign w:val="center"/>
          </w:tcPr>
          <w:p>
            <w:r>
              <w:rPr>
                <w:b/>
              </w:rPr>
              <w:t>Principle</w:t>
            </w:r>
          </w:p>
        </w:tc>
      </w:tr>
      <w:tr>
        <w:tc>
          <w:tcPr>
            <w:tcW w:type="dxa" w:w="1944"/>
            <w:vAlign w:val="center"/>
          </w:tcPr>
          <w:p>
            <w:r>
              <w:t>CP-GR-001</w:t>
            </w:r>
          </w:p>
        </w:tc>
        <w:tc>
          <w:tcPr>
            <w:tcW w:type="dxa" w:w="6696"/>
            <w:vAlign w:val="center"/>
          </w:tcPr>
          <w:p>
            <w:r>
              <w:t>Governance evaluates enterprise understanding. Governance never creates enterprise understanding.</w:t>
            </w:r>
          </w:p>
        </w:tc>
      </w:tr>
      <w:tr>
        <w:tc>
          <w:tcPr>
            <w:tcW w:type="dxa" w:w="1944"/>
            <w:vAlign w:val="center"/>
          </w:tcPr>
          <w:p>
            <w:r>
              <w:t>CP-GR-002</w:t>
            </w:r>
          </w:p>
        </w:tc>
        <w:tc>
          <w:tcPr>
            <w:tcW w:type="dxa" w:w="6696"/>
            <w:vAlign w:val="center"/>
          </w:tcPr>
          <w:p>
            <w:r>
              <w:t>Governance consumes immutable cognitive records.</w:t>
            </w:r>
          </w:p>
        </w:tc>
      </w:tr>
      <w:tr>
        <w:tc>
          <w:tcPr>
            <w:tcW w:type="dxa" w:w="1944"/>
            <w:vAlign w:val="center"/>
          </w:tcPr>
          <w:p>
            <w:r>
              <w:t>CP-GR-003</w:t>
            </w:r>
          </w:p>
        </w:tc>
        <w:tc>
          <w:tcPr>
            <w:tcW w:type="dxa" w:w="6696"/>
            <w:vAlign w:val="center"/>
          </w:tcPr>
          <w:p>
            <w:r>
              <w:t>Governance Evaluation Records are immutable.</w:t>
            </w:r>
          </w:p>
        </w:tc>
      </w:tr>
      <w:tr>
        <w:tc>
          <w:tcPr>
            <w:tcW w:type="dxa" w:w="1944"/>
            <w:vAlign w:val="center"/>
          </w:tcPr>
          <w:p>
            <w:r>
              <w:t>CP-GR-004</w:t>
            </w:r>
          </w:p>
        </w:tc>
        <w:tc>
          <w:tcPr>
            <w:tcW w:type="dxa" w:w="6696"/>
            <w:vAlign w:val="center"/>
          </w:tcPr>
          <w:p>
            <w:r>
              <w:t>Governance never modifies governed records.</w:t>
            </w:r>
          </w:p>
        </w:tc>
      </w:tr>
      <w:tr>
        <w:tc>
          <w:tcPr>
            <w:tcW w:type="dxa" w:w="1944"/>
            <w:vAlign w:val="center"/>
          </w:tcPr>
          <w:p>
            <w:r>
              <w:t>CP-GR-005</w:t>
            </w:r>
          </w:p>
        </w:tc>
        <w:tc>
          <w:tcPr>
            <w:tcW w:type="dxa" w:w="6696"/>
            <w:vAlign w:val="center"/>
          </w:tcPr>
          <w:p>
            <w:r>
              <w:t>Every Governance Evaluation shall be explainable.</w:t>
            </w:r>
          </w:p>
        </w:tc>
      </w:tr>
      <w:tr>
        <w:tc>
          <w:tcPr>
            <w:tcW w:type="dxa" w:w="1944"/>
            <w:vAlign w:val="center"/>
          </w:tcPr>
          <w:p>
            <w:r>
              <w:t>CP-GR-006</w:t>
            </w:r>
          </w:p>
        </w:tc>
        <w:tc>
          <w:tcPr>
            <w:tcW w:type="dxa" w:w="6696"/>
            <w:vAlign w:val="center"/>
          </w:tcPr>
          <w:p>
            <w:r>
              <w:t>Every Governance Evaluation shall be fully traceable.</w:t>
            </w:r>
          </w:p>
        </w:tc>
      </w:tr>
      <w:tr>
        <w:tc>
          <w:tcPr>
            <w:tcW w:type="dxa" w:w="1944"/>
            <w:vAlign w:val="center"/>
          </w:tcPr>
          <w:p>
            <w:r>
              <w:t>CP-GR-007</w:t>
            </w:r>
          </w:p>
        </w:tc>
        <w:tc>
          <w:tcPr>
            <w:tcW w:type="dxa" w:w="6696"/>
            <w:vAlign w:val="center"/>
          </w:tcPr>
          <w:p>
            <w:r>
              <w:t>Human Override creates a new immutable Governance Evaluation Record. Existing Governance Evaluation Records are never modified.</w:t>
            </w:r>
          </w:p>
        </w:tc>
      </w:tr>
      <w:tr>
        <w:tc>
          <w:tcPr>
            <w:tcW w:type="dxa" w:w="1944"/>
            <w:vAlign w:val="center"/>
          </w:tcPr>
          <w:p>
            <w:r>
              <w:t>CP-GR-008</w:t>
            </w:r>
          </w:p>
        </w:tc>
        <w:tc>
          <w:tcPr>
            <w:tcW w:type="dxa" w:w="6696"/>
            <w:vAlign w:val="center"/>
          </w:tcPr>
          <w:p>
            <w:r>
              <w:t>Governance evaluates understanding against governing enterprise policies. Governance never executes operational changes.</w:t>
            </w:r>
          </w:p>
        </w:tc>
      </w:tr>
      <w:tr>
        <w:tc>
          <w:tcPr>
            <w:tcW w:type="dxa" w:w="1944"/>
            <w:vAlign w:val="center"/>
          </w:tcPr>
          <w:p>
            <w:r>
              <w:t>CP-GR-009</w:t>
            </w:r>
          </w:p>
        </w:tc>
        <w:tc>
          <w:tcPr>
            <w:tcW w:type="dxa" w:w="6696"/>
            <w:vAlign w:val="center"/>
          </w:tcPr>
          <w:p>
            <w:r>
              <w:t>Governance produces Governance Attestations. Enterprise Trust emerges from the collective body of Governance Attestations.</w:t>
            </w:r>
          </w:p>
        </w:tc>
      </w:tr>
    </w:tbl>
    <w:p>
      <w:pPr>
        <w:pStyle w:val="Heading1"/>
        <w:keepNext/>
      </w:pPr>
      <w:r>
        <w:t>5. Business Vocabulary</w:t>
      </w:r>
    </w:p>
    <w:tbl>
      <w:tblPr>
        <w:tblStyle w:val="TableGrid"/>
        <w:tblW w:type="dxa" w:w="8640"/>
        <w:jc w:val="left"/>
        <w:tblLayout w:type="fixed"/>
        <w:tblLook w:firstColumn="1" w:firstRow="1" w:lastColumn="0" w:lastRow="0" w:noHBand="0" w:noVBand="1" w:val="04A0"/>
      </w:tblPr>
      <w:tblGrid>
        <w:gridCol w:w="2951"/>
        <w:gridCol w:w="5688"/>
      </w:tblGrid>
      <w:tr>
        <w:trPr>
          <w:tblHeader/>
        </w:trPr>
        <w:tc>
          <w:tcPr>
            <w:tcW w:type="dxa" w:w="2952"/>
            <w:vAlign w:val="center"/>
          </w:tcPr>
          <w:p>
            <w:r>
              <w:rPr>
                <w:b/>
              </w:rPr>
              <w:t>Business Concept</w:t>
            </w:r>
          </w:p>
        </w:tc>
        <w:tc>
          <w:tcPr>
            <w:tcW w:type="dxa" w:w="5688"/>
            <w:vAlign w:val="center"/>
          </w:tcPr>
          <w:p>
            <w:r>
              <w:rPr>
                <w:b/>
              </w:rPr>
              <w:t>Definition</w:t>
            </w:r>
          </w:p>
        </w:tc>
      </w:tr>
      <w:tr>
        <w:tc>
          <w:tcPr>
            <w:tcW w:type="dxa" w:w="2952"/>
            <w:vAlign w:val="center"/>
          </w:tcPr>
          <w:p>
            <w:r>
              <w:t>Governance Evaluation</w:t>
            </w:r>
          </w:p>
        </w:tc>
        <w:tc>
          <w:tcPr>
            <w:tcW w:type="dxa" w:w="5688"/>
            <w:vAlign w:val="center"/>
          </w:tcPr>
          <w:p>
            <w:r>
              <w:t>Evaluation of enterprise understanding against governing enterprise policies</w:t>
            </w:r>
          </w:p>
        </w:tc>
      </w:tr>
      <w:tr>
        <w:tc>
          <w:tcPr>
            <w:tcW w:type="dxa" w:w="2952"/>
            <w:vAlign w:val="center"/>
          </w:tcPr>
          <w:p>
            <w:r>
              <w:t>Governance Evaluation Record</w:t>
            </w:r>
          </w:p>
        </w:tc>
        <w:tc>
          <w:tcPr>
            <w:tcW w:type="dxa" w:w="5688"/>
            <w:vAlign w:val="center"/>
          </w:tcPr>
          <w:p>
            <w:r>
              <w:t>Immutable business artifact representing one governance evaluation</w:t>
            </w:r>
          </w:p>
        </w:tc>
      </w:tr>
      <w:tr>
        <w:tc>
          <w:tcPr>
            <w:tcW w:type="dxa" w:w="2952"/>
            <w:vAlign w:val="center"/>
          </w:tcPr>
          <w:p>
            <w:r>
              <w:t>Governance Attestation</w:t>
            </w:r>
          </w:p>
        </w:tc>
        <w:tc>
          <w:tcPr>
            <w:tcW w:type="dxa" w:w="5688"/>
            <w:vAlign w:val="center"/>
          </w:tcPr>
          <w:p>
            <w:r>
              <w:t>Business outcome established by a Governance Evaluation Record; it is not an independently persisted business artifact</w:t>
            </w:r>
          </w:p>
        </w:tc>
      </w:tr>
      <w:tr>
        <w:tc>
          <w:tcPr>
            <w:tcW w:type="dxa" w:w="2952"/>
            <w:vAlign w:val="center"/>
          </w:tcPr>
          <w:p>
            <w:r>
              <w:t>Governed Record</w:t>
            </w:r>
          </w:p>
        </w:tc>
        <w:tc>
          <w:tcPr>
            <w:tcW w:type="dxa" w:w="5688"/>
            <w:vAlign w:val="center"/>
          </w:tcPr>
          <w:p>
            <w:r>
              <w:t>Immutable cognitive record evaluated by Governance</w:t>
            </w:r>
          </w:p>
        </w:tc>
      </w:tr>
      <w:tr>
        <w:tc>
          <w:tcPr>
            <w:tcW w:type="dxa" w:w="2952"/>
            <w:vAlign w:val="center"/>
          </w:tcPr>
          <w:p>
            <w:r>
              <w:t>Governance Outcome</w:t>
            </w:r>
          </w:p>
        </w:tc>
        <w:tc>
          <w:tcPr>
            <w:tcW w:type="dxa" w:w="5688"/>
            <w:vAlign w:val="center"/>
          </w:tcPr>
          <w:p>
            <w:r>
              <w:t>Result of Governance Evaluation</w:t>
            </w:r>
          </w:p>
        </w:tc>
      </w:tr>
      <w:tr>
        <w:tc>
          <w:tcPr>
            <w:tcW w:type="dxa" w:w="2952"/>
            <w:vAlign w:val="center"/>
          </w:tcPr>
          <w:p>
            <w:r>
              <w:t>Governance Confidence</w:t>
            </w:r>
          </w:p>
        </w:tc>
        <w:tc>
          <w:tcPr>
            <w:tcW w:type="dxa" w:w="5688"/>
            <w:vAlign w:val="center"/>
          </w:tcPr>
          <w:p>
            <w:r>
              <w:t>High / Medium / Low business confidence</w:t>
            </w:r>
          </w:p>
        </w:tc>
      </w:tr>
      <w:tr>
        <w:tc>
          <w:tcPr>
            <w:tcW w:type="dxa" w:w="2952"/>
            <w:vAlign w:val="center"/>
          </w:tcPr>
          <w:p>
            <w:r>
              <w:t>Governance Explanation</w:t>
            </w:r>
          </w:p>
        </w:tc>
        <w:tc>
          <w:tcPr>
            <w:tcW w:type="dxa" w:w="5688"/>
            <w:vAlign w:val="center"/>
          </w:tcPr>
          <w:p>
            <w:r>
              <w:t>Structured explanation supporting the governance outcome</w:t>
            </w:r>
          </w:p>
        </w:tc>
      </w:tr>
      <w:tr>
        <w:tc>
          <w:tcPr>
            <w:tcW w:type="dxa" w:w="2952"/>
            <w:vAlign w:val="center"/>
          </w:tcPr>
          <w:p>
            <w:r>
              <w:t>Governing Policy</w:t>
            </w:r>
          </w:p>
        </w:tc>
        <w:tc>
          <w:tcPr>
            <w:tcW w:type="dxa" w:w="5688"/>
            <w:vAlign w:val="center"/>
          </w:tcPr>
          <w:p>
            <w:r>
              <w:t>Enterprise policy evaluated</w:t>
            </w:r>
          </w:p>
        </w:tc>
      </w:tr>
      <w:tr>
        <w:tc>
          <w:tcPr>
            <w:tcW w:type="dxa" w:w="2952"/>
            <w:vAlign w:val="center"/>
          </w:tcPr>
          <w:p>
            <w:r>
              <w:t>Exception</w:t>
            </w:r>
          </w:p>
        </w:tc>
        <w:tc>
          <w:tcPr>
            <w:tcW w:type="dxa" w:w="5688"/>
            <w:vAlign w:val="center"/>
          </w:tcPr>
          <w:p>
            <w:r>
              <w:t>Authorized deviation from governing policy</w:t>
            </w:r>
          </w:p>
        </w:tc>
      </w:tr>
      <w:tr>
        <w:tc>
          <w:tcPr>
            <w:tcW w:type="dxa" w:w="2952"/>
            <w:vAlign w:val="center"/>
          </w:tcPr>
          <w:p>
            <w:r>
              <w:t>Exception Authorization</w:t>
            </w:r>
          </w:p>
        </w:tc>
        <w:tc>
          <w:tcPr>
            <w:tcW w:type="dxa" w:w="5688"/>
            <w:vAlign w:val="center"/>
          </w:tcPr>
          <w:p>
            <w:r>
              <w:t>Immutable authorization defined by GEM-001 and consumed by Governance when the Governance Outcome is Exception Granted</w:t>
            </w:r>
          </w:p>
        </w:tc>
      </w:tr>
      <w:tr>
        <w:tc>
          <w:tcPr>
            <w:tcW w:type="dxa" w:w="2952"/>
            <w:vAlign w:val="center"/>
          </w:tcPr>
          <w:p>
            <w:r>
              <w:t>Compliance</w:t>
            </w:r>
          </w:p>
        </w:tc>
        <w:tc>
          <w:tcPr>
            <w:tcW w:type="dxa" w:w="5688"/>
            <w:vAlign w:val="center"/>
          </w:tcPr>
          <w:p>
            <w:r>
              <w:t>Conformance with governing enterprise policy</w:t>
            </w:r>
          </w:p>
        </w:tc>
      </w:tr>
      <w:tr>
        <w:tc>
          <w:tcPr>
            <w:tcW w:type="dxa" w:w="2952"/>
            <w:vAlign w:val="center"/>
          </w:tcPr>
          <w:p>
            <w:r>
              <w:t>Enterprise Trust</w:t>
            </w:r>
          </w:p>
        </w:tc>
        <w:tc>
          <w:tcPr>
            <w:tcW w:type="dxa" w:w="5688"/>
            <w:vAlign w:val="center"/>
          </w:tcPr>
          <w:p>
            <w:r>
              <w:t>Emergent enterprise property established through Governance Attestations</w:t>
            </w:r>
          </w:p>
        </w:tc>
      </w:tr>
    </w:tbl>
    <w:p>
      <w:pPr>
        <w:pStyle w:val="Heading1"/>
        <w:keepNext/>
      </w:pPr>
      <w:r>
        <w:t>6. Inputs</w:t>
      </w:r>
    </w:p>
    <w:p>
      <w:pPr/>
      <w:r>
        <w:t>Governance consumes:</w:t>
      </w:r>
    </w:p>
    <w:p>
      <w:pPr>
        <w:pStyle w:val="ListBullet"/>
      </w:pPr>
      <w:r>
        <w:t>Enterprise Entity Resolution Records</w:t>
      </w:r>
    </w:p>
    <w:p>
      <w:pPr>
        <w:pStyle w:val="ListBullet"/>
      </w:pPr>
      <w:r>
        <w:t>Semantic Resolution Records</w:t>
      </w:r>
    </w:p>
    <w:p>
      <w:pPr>
        <w:pStyle w:val="ListBullet"/>
      </w:pPr>
      <w:r>
        <w:t>Assertion Records</w:t>
      </w:r>
    </w:p>
    <w:p>
      <w:pPr>
        <w:pStyle w:val="ListBullet"/>
      </w:pPr>
      <w:r>
        <w:t>Knowledge Evaluation Records</w:t>
      </w:r>
    </w:p>
    <w:p>
      <w:pPr>
        <w:pStyle w:val="ListBullet"/>
      </w:pPr>
      <w:r>
        <w:t>Decision Evaluation Records</w:t>
      </w:r>
    </w:p>
    <w:p>
      <w:pPr>
        <w:pStyle w:val="ListBullet"/>
      </w:pPr>
      <w:r>
        <w:t>Governing Enterprise Policies</w:t>
      </w:r>
    </w:p>
    <w:p>
      <w:pPr>
        <w:pStyle w:val="ListBullet"/>
      </w:pPr>
      <w:r>
        <w:t>Exception Authorization when the Governance Outcome is Exception Granted</w:t>
      </w:r>
    </w:p>
    <w:p>
      <w:pPr/>
      <w:r>
        <w:t>Governance SHALL NOT consume:</w:t>
      </w:r>
    </w:p>
    <w:p>
      <w:pPr>
        <w:pStyle w:val="ListBullet"/>
      </w:pPr>
      <w:r>
        <w:t>Raw Source Objects</w:t>
      </w:r>
    </w:p>
    <w:p>
      <w:pPr>
        <w:pStyle w:val="ListBullet"/>
      </w:pPr>
      <w:r>
        <w:t>Operational Transactions</w:t>
      </w:r>
    </w:p>
    <w:p>
      <w:pPr>
        <w:pStyle w:val="ListBullet"/>
      </w:pPr>
      <w:r>
        <w:t>AI-generated outputs that have not entered the cognitive pipeline</w:t>
      </w:r>
    </w:p>
    <w:p>
      <w:pPr>
        <w:pStyle w:val="Heading1"/>
        <w:keepNext/>
      </w:pPr>
      <w:r>
        <w:t>7. Outputs</w:t>
      </w:r>
    </w:p>
    <w:p>
      <w:pPr/>
      <w:r>
        <w:t>Governance produces:</w:t>
      </w:r>
    </w:p>
    <w:p>
      <w:pPr>
        <w:pStyle w:val="ListBullet"/>
      </w:pPr>
      <w:r>
        <w:t>Governance Evaluation Record</w:t>
      </w:r>
    </w:p>
    <w:p>
      <w:pPr>
        <w:pStyle w:val="ListBullet"/>
      </w:pPr>
      <w:r>
        <w:t>Governance Attestation</w:t>
      </w:r>
    </w:p>
    <w:p>
      <w:pPr/>
      <w:r>
        <w:t>Every Governance Evaluation establishes exactly one Governance Attestation.</w:t>
      </w:r>
    </w:p>
    <w:p>
      <w:pPr/>
      <w:r>
        <w:t>The Governance Attestation reflects the Governance Outcome recorded by the Governance Evaluation Record.</w:t>
      </w:r>
    </w:p>
    <w:p>
      <w:pPr/>
      <w:r>
        <w:t>Governance Outcomes are Compliant, Non-Compliant, Exception Granted, and Requires Review.</w:t>
      </w:r>
    </w:p>
    <w:p>
      <w:pPr/>
      <w:r>
        <w:t>Governance Attestation is not an independently persisted business artifact. The immutable Governance Evaluation Record is the sole persistent business artifact. Governance Attestation is the business outcome established by the Governance Evaluation Record.</w:t>
      </w:r>
    </w:p>
    <w:p>
      <w:pPr/>
      <w:r>
        <w:t>Enterprise Trust is not a business artifact. Enterprise Trust emerges from the collective body of Governance Attestations, including both positive and negative attestations.</w:t>
      </w:r>
    </w:p>
    <w:p>
      <w:pPr>
        <w:pStyle w:val="Heading1"/>
        <w:keepNext/>
      </w:pPr>
      <w:r>
        <w:t>8. Governance Evaluation Record Specification</w:t>
      </w:r>
    </w:p>
    <w:tbl>
      <w:tblPr>
        <w:tblStyle w:val="TableGrid"/>
        <w:tblW w:type="dxa" w:w="8640"/>
        <w:jc w:val="left"/>
        <w:tblLayout w:type="fixed"/>
        <w:tblLook w:firstColumn="1" w:firstRow="1" w:lastColumn="0" w:lastRow="0" w:noHBand="0" w:noVBand="1" w:val="04A0"/>
      </w:tblPr>
      <w:tblGrid>
        <w:gridCol w:w="3024"/>
        <w:gridCol w:w="5616"/>
      </w:tblGrid>
      <w:tr>
        <w:trPr>
          <w:tblHeader/>
        </w:trPr>
        <w:tc>
          <w:tcPr>
            <w:tcW w:type="dxa" w:w="3024"/>
            <w:vAlign w:val="center"/>
          </w:tcPr>
          <w:p>
            <w:r>
              <w:rPr>
                <w:b/>
              </w:rPr>
              <w:t>Business Attribute</w:t>
            </w:r>
          </w:p>
        </w:tc>
        <w:tc>
          <w:tcPr>
            <w:tcW w:type="dxa" w:w="5616"/>
            <w:vAlign w:val="center"/>
          </w:tcPr>
          <w:p>
            <w:r>
              <w:rPr>
                <w:b/>
              </w:rPr>
              <w:t>Definition</w:t>
            </w:r>
          </w:p>
        </w:tc>
      </w:tr>
      <w:tr>
        <w:tc>
          <w:tcPr>
            <w:tcW w:type="dxa" w:w="3024"/>
            <w:vAlign w:val="center"/>
          </w:tcPr>
          <w:p>
            <w:r>
              <w:t>Record Identifier</w:t>
            </w:r>
          </w:p>
        </w:tc>
        <w:tc>
          <w:tcPr>
            <w:tcW w:type="dxa" w:w="5616"/>
            <w:vAlign w:val="center"/>
          </w:tcPr>
          <w:p>
            <w:r>
              <w:t>Unique immutable identifier</w:t>
            </w:r>
          </w:p>
        </w:tc>
      </w:tr>
      <w:tr>
        <w:tc>
          <w:tcPr>
            <w:tcW w:type="dxa" w:w="3024"/>
            <w:vAlign w:val="center"/>
          </w:tcPr>
          <w:p>
            <w:r>
              <w:t>Governed Record Reference</w:t>
            </w:r>
          </w:p>
        </w:tc>
        <w:tc>
          <w:tcPr>
            <w:tcW w:type="dxa" w:w="5616"/>
            <w:vAlign w:val="center"/>
          </w:tcPr>
          <w:p>
            <w:r>
              <w:t>Exactly one immutable cognitive record</w:t>
            </w:r>
          </w:p>
        </w:tc>
      </w:tr>
      <w:tr>
        <w:tc>
          <w:tcPr>
            <w:tcW w:type="dxa" w:w="3024"/>
            <w:vAlign w:val="center"/>
          </w:tcPr>
          <w:p>
            <w:r>
              <w:t>Governed Record Type</w:t>
            </w:r>
          </w:p>
        </w:tc>
        <w:tc>
          <w:tcPr>
            <w:tcW w:type="dxa" w:w="5616"/>
            <w:vAlign w:val="center"/>
          </w:tcPr>
          <w:p>
            <w:r>
              <w:t>Enterprise Entity Resolution, Semantic Resolution, Assertion, Knowledge Evaluation, or Decision Evaluation</w:t>
            </w:r>
          </w:p>
        </w:tc>
      </w:tr>
      <w:tr>
        <w:tc>
          <w:tcPr>
            <w:tcW w:type="dxa" w:w="3024"/>
            <w:vAlign w:val="center"/>
          </w:tcPr>
          <w:p>
            <w:r>
              <w:t>Governance Outcome</w:t>
            </w:r>
          </w:p>
        </w:tc>
        <w:tc>
          <w:tcPr>
            <w:tcW w:type="dxa" w:w="5616"/>
            <w:vAlign w:val="center"/>
          </w:tcPr>
          <w:p>
            <w:r>
              <w:t>Compliant, Non-Compliant, Exception Granted, Requires Review</w:t>
            </w:r>
          </w:p>
        </w:tc>
      </w:tr>
      <w:tr>
        <w:tc>
          <w:tcPr>
            <w:tcW w:type="dxa" w:w="3024"/>
            <w:vAlign w:val="center"/>
          </w:tcPr>
          <w:p>
            <w:r>
              <w:t>Governance Confidence</w:t>
            </w:r>
          </w:p>
        </w:tc>
        <w:tc>
          <w:tcPr>
            <w:tcW w:type="dxa" w:w="5616"/>
            <w:vAlign w:val="center"/>
          </w:tcPr>
          <w:p>
            <w:r>
              <w:t>High, Medium, Low</w:t>
            </w:r>
          </w:p>
        </w:tc>
      </w:tr>
      <w:tr>
        <w:tc>
          <w:tcPr>
            <w:tcW w:type="dxa" w:w="3024"/>
            <w:vAlign w:val="center"/>
          </w:tcPr>
          <w:p>
            <w:r>
              <w:t>Governance Explanation</w:t>
            </w:r>
          </w:p>
        </w:tc>
        <w:tc>
          <w:tcPr>
            <w:tcW w:type="dxa" w:w="5616"/>
            <w:vAlign w:val="center"/>
          </w:tcPr>
          <w:p>
            <w:r>
              <w:t>Structured reasons and narrative supporting the evaluation</w:t>
            </w:r>
          </w:p>
        </w:tc>
      </w:tr>
      <w:tr>
        <w:tc>
          <w:tcPr>
            <w:tcW w:type="dxa" w:w="3024"/>
            <w:vAlign w:val="center"/>
          </w:tcPr>
          <w:p>
            <w:r>
              <w:t>Governing Policy Reference</w:t>
            </w:r>
          </w:p>
        </w:tc>
        <w:tc>
          <w:tcPr>
            <w:tcW w:type="dxa" w:w="5616"/>
            <w:vAlign w:val="center"/>
          </w:tcPr>
          <w:p>
            <w:r>
              <w:t>Policy evaluated</w:t>
            </w:r>
          </w:p>
        </w:tc>
      </w:tr>
      <w:tr>
        <w:tc>
          <w:tcPr>
            <w:tcW w:type="dxa" w:w="3024"/>
            <w:vAlign w:val="center"/>
          </w:tcPr>
          <w:p>
            <w:r>
              <w:t>Policy Version</w:t>
            </w:r>
          </w:p>
        </w:tc>
        <w:tc>
          <w:tcPr>
            <w:tcW w:type="dxa" w:w="5616"/>
            <w:vAlign w:val="center"/>
          </w:tcPr>
          <w:p>
            <w:r>
              <w:t>Version of the governing policy</w:t>
            </w:r>
          </w:p>
        </w:tc>
      </w:tr>
      <w:tr>
        <w:tc>
          <w:tcPr>
            <w:tcW w:type="dxa" w:w="3024"/>
            <w:vAlign w:val="center"/>
          </w:tcPr>
          <w:p>
            <w:r>
              <w:t>Exception Authorization Reference</w:t>
            </w:r>
          </w:p>
        </w:tc>
        <w:tc>
          <w:tcPr>
            <w:tcW w:type="dxa" w:w="5616"/>
            <w:vAlign w:val="center"/>
          </w:tcPr>
          <w:p>
            <w:r>
              <w:t>Required only when Governance Outcome is Exception Granted; references exactly one Exception Authorization defined by GEM-001</w:t>
            </w:r>
          </w:p>
        </w:tc>
      </w:tr>
      <w:tr>
        <w:tc>
          <w:tcPr>
            <w:tcW w:type="dxa" w:w="3024"/>
            <w:vAlign w:val="center"/>
          </w:tcPr>
          <w:p>
            <w:r>
              <w:t>Effective From</w:t>
            </w:r>
          </w:p>
        </w:tc>
        <w:tc>
          <w:tcPr>
            <w:tcW w:type="dxa" w:w="5616"/>
            <w:vAlign w:val="center"/>
          </w:tcPr>
          <w:p>
            <w:r>
              <w:t>Business effective timestamp</w:t>
            </w:r>
          </w:p>
        </w:tc>
      </w:tr>
      <w:tr>
        <w:tc>
          <w:tcPr>
            <w:tcW w:type="dxa" w:w="3024"/>
            <w:vAlign w:val="center"/>
          </w:tcPr>
          <w:p>
            <w:r>
              <w:t>Produced Timestamp</w:t>
            </w:r>
          </w:p>
        </w:tc>
        <w:tc>
          <w:tcPr>
            <w:tcW w:type="dxa" w:w="5616"/>
            <w:vAlign w:val="center"/>
          </w:tcPr>
          <w:p>
            <w:r>
              <w:t>Record creation timestamp</w:t>
            </w:r>
          </w:p>
        </w:tc>
      </w:tr>
    </w:tbl>
    <w:p>
      <w:pPr/>
      <w:r>
        <w:t>No additional business attributes are authorized.</w:t>
      </w:r>
    </w:p>
    <w:p>
      <w:pPr>
        <w:pStyle w:val="Heading1"/>
        <w:keepNext/>
      </w:pPr>
      <w:r>
        <w:t>9. Governance Outcome Rules</w:t>
      </w:r>
    </w:p>
    <w:p>
      <w:pPr>
        <w:pStyle w:val="Heading2"/>
        <w:keepNext/>
      </w:pPr>
      <w:r>
        <w:t>Compliant</w:t>
      </w:r>
    </w:p>
    <w:p>
      <w:pPr/>
      <w:r>
        <w:rPr>
          <w:b/>
        </w:rPr>
        <w:t xml:space="preserve">Requirements: </w:t>
      </w:r>
      <w:r>
        <w:t>Governed record satisfies governing enterprise policy.</w:t>
      </w:r>
    </w:p>
    <w:p>
      <w:pPr/>
      <w:r>
        <w:rPr>
          <w:b/>
        </w:rPr>
        <w:t xml:space="preserve">Produces: </w:t>
      </w:r>
      <w:r>
        <w:t>Governance Attestation.</w:t>
      </w:r>
    </w:p>
    <w:p>
      <w:pPr>
        <w:pStyle w:val="Heading2"/>
        <w:keepNext/>
      </w:pPr>
      <w:r>
        <w:t>Non-Compliant</w:t>
      </w:r>
    </w:p>
    <w:p>
      <w:pPr/>
      <w:r>
        <w:rPr>
          <w:b/>
        </w:rPr>
        <w:t xml:space="preserve">Requirements: </w:t>
      </w:r>
      <w:r>
        <w:t>Governed record violates governing enterprise policy.</w:t>
      </w:r>
    </w:p>
    <w:p>
      <w:pPr/>
      <w:r>
        <w:rPr>
          <w:b/>
        </w:rPr>
        <w:t xml:space="preserve">Produces: </w:t>
      </w:r>
      <w:r>
        <w:t>Governance Attestation reflecting the Non-Compliant outcome.</w:t>
      </w:r>
    </w:p>
    <w:p>
      <w:pPr>
        <w:pStyle w:val="Heading2"/>
        <w:keepNext/>
      </w:pPr>
      <w:r>
        <w:t>Exception Granted</w:t>
      </w:r>
    </w:p>
    <w:p>
      <w:pPr/>
      <w:r>
        <w:rPr>
          <w:b/>
        </w:rPr>
        <w:t xml:space="preserve">Requirements: </w:t>
      </w:r>
      <w:r>
        <w:t>Governed record violates policy. A valid Exception Authorization defined by GEM-001 is required.</w:t>
      </w:r>
    </w:p>
    <w:p>
      <w:pPr/>
      <w:r>
        <w:rPr>
          <w:b/>
        </w:rPr>
        <w:t xml:space="preserve">Produces: </w:t>
      </w:r>
      <w:r>
        <w:t>Governance Attestation.</w:t>
      </w:r>
    </w:p>
    <w:p>
      <w:pPr>
        <w:pStyle w:val="Heading2"/>
        <w:keepNext/>
      </w:pPr>
      <w:r>
        <w:t>Requires Review</w:t>
      </w:r>
    </w:p>
    <w:p>
      <w:pPr/>
      <w:r>
        <w:rPr>
          <w:b/>
        </w:rPr>
        <w:t xml:space="preserve">Requirements: </w:t>
      </w:r>
      <w:r>
        <w:t>Human governance evaluation required.</w:t>
      </w:r>
    </w:p>
    <w:p>
      <w:pPr/>
      <w:r>
        <w:t>Produces a Governance Attestation reflecting the Requires Review outcome.</w:t>
      </w:r>
    </w:p>
    <w:p>
      <w:pPr/>
      <w:r>
        <w:t>Governance Confidence — High, Medium, Low — is valid for every Governance Outcome.</w:t>
      </w:r>
    </w:p>
    <w:p>
      <w:pPr>
        <w:pStyle w:val="Heading1"/>
        <w:keepNext/>
      </w:pPr>
      <w:r>
        <w:t>10. Governance Identity and History</w:t>
      </w:r>
    </w:p>
    <w:p>
      <w:pPr/>
      <w:r>
        <w:t>Governance identity consists of:</w:t>
      </w:r>
    </w:p>
    <w:p>
      <w:pPr>
        <w:pStyle w:val="ListBullet"/>
      </w:pPr>
      <w:r>
        <w:t>Governed Record Reference</w:t>
      </w:r>
    </w:p>
    <w:p>
      <w:pPr>
        <w:pStyle w:val="ListBullet"/>
      </w:pPr>
      <w:r>
        <w:t>Governing Policy Reference</w:t>
      </w:r>
    </w:p>
    <w:p>
      <w:pPr/>
      <w:r>
        <w:t>Policy Version participates in Governance history, not Governance identity.</w:t>
      </w:r>
    </w:p>
    <w:p>
      <w:pPr/>
      <w:r>
        <w:t>Exactly one Governance Evaluation is determined current externally for each Governed Record Reference and Governing Policy Reference from the ordered history of Governance Evaluation Records in accordance with RFC-011.</w:t>
      </w:r>
    </w:p>
    <w:p>
      <w:pPr/>
      <w:r>
        <w:t>Governance Evaluation Records are immutable. Current governance understanding is determined externally.</w:t>
      </w:r>
    </w:p>
    <w:p>
      <w:pPr>
        <w:pStyle w:val="Heading1"/>
        <w:keepNext/>
      </w:pPr>
      <w:r>
        <w:t>11. Human Override</w:t>
      </w:r>
    </w:p>
    <w:p>
      <w:pPr/>
      <w:r>
        <w:t>Authorized Governance users may create a replacement Governance Evaluation Record.</w:t>
      </w:r>
    </w:p>
    <w:p>
      <w:pPr/>
      <w:r>
        <w:t>Human Override may change:</w:t>
      </w:r>
    </w:p>
    <w:p>
      <w:pPr>
        <w:pStyle w:val="ListBullet"/>
      </w:pPr>
      <w:r>
        <w:t>Governance Outcome</w:t>
      </w:r>
    </w:p>
    <w:p>
      <w:pPr>
        <w:pStyle w:val="ListBullet"/>
      </w:pPr>
      <w:r>
        <w:t>Governance Confidence</w:t>
      </w:r>
    </w:p>
    <w:p>
      <w:pPr>
        <w:pStyle w:val="ListBullet"/>
      </w:pPr>
      <w:r>
        <w:t>Governance Explanation</w:t>
      </w:r>
    </w:p>
    <w:p>
      <w:pPr/>
      <w:r>
        <w:t>Every override SHALL include Governance Explanation.</w:t>
      </w:r>
    </w:p>
    <w:p>
      <w:pPr/>
      <w:r>
        <w:t>Previous Governance Evaluation Records remain immutable.</w:t>
      </w:r>
    </w:p>
    <w:p>
      <w:pPr>
        <w:pStyle w:val="Heading1"/>
        <w:keepNext/>
      </w:pPr>
      <w:r>
        <w:t>12. Complete Illustrative Example</w:t>
      </w:r>
    </w:p>
    <w:p>
      <w:pPr/>
      <w:r>
        <w:rPr>
          <w:b/>
        </w:rPr>
        <w:t xml:space="preserve">Governed Record: </w:t>
      </w:r>
      <w:r>
        <w:t>Knowledge Evaluation Record</w:t>
      </w:r>
    </w:p>
    <w:p>
      <w:pPr/>
      <w:r>
        <w:rPr>
          <w:b/>
        </w:rPr>
        <w:t xml:space="preserve">Reference: </w:t>
      </w:r>
      <w:r>
        <w:t>KER-000241</w:t>
      </w:r>
    </w:p>
    <w:p>
      <w:pPr/>
      <w:r>
        <w:rPr>
          <w:b/>
        </w:rPr>
        <w:t xml:space="preserve">Governing Policy: </w:t>
      </w:r>
      <w:r>
        <w:t>DG-POL-021 — Sensitive Customer Data</w:t>
      </w:r>
    </w:p>
    <w:p>
      <w:pPr/>
      <w:r>
        <w:rPr>
          <w:b/>
        </w:rPr>
        <w:t xml:space="preserve">Policy Version: </w:t>
      </w:r>
      <w:r>
        <w:t>2.4</w:t>
      </w:r>
    </w:p>
    <w:p>
      <w:pPr/>
      <w:r>
        <w:rPr>
          <w:b/>
        </w:rPr>
        <w:t xml:space="preserve">Governance Outcome: </w:t>
      </w:r>
      <w:r>
        <w:t>Compliant</w:t>
      </w:r>
    </w:p>
    <w:p>
      <w:pPr/>
      <w:r>
        <w:rPr>
          <w:b/>
        </w:rPr>
        <w:t xml:space="preserve">Governance Confidence: </w:t>
      </w:r>
      <w:r>
        <w:t>High</w:t>
      </w:r>
    </w:p>
    <w:p>
      <w:pPr/>
      <w:r>
        <w:rPr>
          <w:b/>
        </w:rPr>
        <w:t xml:space="preserve">Governance Explanation: </w:t>
      </w:r>
      <w:r>
        <w:t>The Knowledge Evaluation Record satisfies all mandatory stewardship, ownership, lineage, approval, and traceability requirements defined by DG-POL-021 Version 2.4.</w:t>
      </w:r>
    </w:p>
    <w:p>
      <w:pPr/>
      <w:r>
        <w:rPr>
          <w:b/>
        </w:rPr>
        <w:t xml:space="preserve">Governance Attestation: </w:t>
      </w:r>
      <w:r>
        <w:t>Established</w:t>
      </w:r>
    </w:p>
    <w:p>
      <w:pPr/>
      <w:r>
        <w:rPr>
          <w:b/>
        </w:rPr>
        <w:t xml:space="preserve">Enterprise Trust: </w:t>
      </w:r>
      <w:r>
        <w:t>Strengthened through this Governance Attestation.</w:t>
      </w:r>
    </w:p>
    <w:p>
      <w:pPr>
        <w:pStyle w:val="Heading1"/>
        <w:keepNext/>
      </w:pPr>
      <w:r>
        <w:t>13. Relationship to Other Capabilities</w:t>
      </w:r>
    </w:p>
    <w:p>
      <w:pPr/>
      <w:r>
        <w:t>Governance consumes:</w:t>
      </w:r>
    </w:p>
    <w:p>
      <w:pPr>
        <w:pStyle w:val="ListBullet"/>
      </w:pPr>
      <w:r>
        <w:t>Enterprise Entity Resolution</w:t>
      </w:r>
    </w:p>
    <w:p>
      <w:pPr>
        <w:pStyle w:val="ListBullet"/>
      </w:pPr>
      <w:r>
        <w:t>Semantic Resolution</w:t>
      </w:r>
    </w:p>
    <w:p>
      <w:pPr>
        <w:pStyle w:val="ListBullet"/>
      </w:pPr>
      <w:r>
        <w:t>Assertion</w:t>
      </w:r>
    </w:p>
    <w:p>
      <w:pPr>
        <w:pStyle w:val="ListBullet"/>
      </w:pPr>
      <w:r>
        <w:t>Knowledge</w:t>
      </w:r>
    </w:p>
    <w:p>
      <w:pPr>
        <w:pStyle w:val="ListBullet"/>
      </w:pPr>
      <w:r>
        <w:t>Decision</w:t>
      </w:r>
    </w:p>
    <w:p>
      <w:pPr/>
      <w:r>
        <w:t>Governance produces Governance Attestation.</w:t>
      </w:r>
    </w:p>
    <w:p>
      <w:pPr/>
      <w:r>
        <w:t>Governance never modifies consumed records. Governance never executes enterprise operations. External systems determine operational response.</w:t>
      </w:r>
    </w:p>
    <w:p>
      <w:pPr>
        <w:pStyle w:val="Heading1"/>
        <w:keepNext/>
      </w:pPr>
      <w:r>
        <w:t>14. Success Criteria</w:t>
      </w:r>
    </w:p>
    <w:p>
      <w:pPr>
        <w:pStyle w:val="ListBullet"/>
      </w:pPr>
      <w:r>
        <w:t>Every immutable cognitive record may be independently governed.</w:t>
      </w:r>
    </w:p>
    <w:p>
      <w:pPr>
        <w:pStyle w:val="ListBullet"/>
      </w:pPr>
      <w:r>
        <w:t>Governance never modifies enterprise understanding.</w:t>
      </w:r>
    </w:p>
    <w:p>
      <w:pPr>
        <w:pStyle w:val="ListBullet"/>
      </w:pPr>
      <w:r>
        <w:t>Governance Evaluations remain immutable.</w:t>
      </w:r>
    </w:p>
    <w:p>
      <w:pPr>
        <w:pStyle w:val="ListBullet"/>
      </w:pPr>
      <w:r>
        <w:t>Governance Attestations remain fully explainable.</w:t>
      </w:r>
    </w:p>
    <w:p>
      <w:pPr>
        <w:pStyle w:val="ListBullet"/>
      </w:pPr>
      <w:r>
        <w:t>Governance remains fully traceable.</w:t>
      </w:r>
    </w:p>
    <w:p>
      <w:pPr>
        <w:pStyle w:val="ListBullet"/>
      </w:pPr>
      <w:r>
        <w:t>Governance remains technology-neutral.</w:t>
      </w:r>
    </w:p>
    <w:p>
      <w:pPr>
        <w:pStyle w:val="ListBullet"/>
      </w:pPr>
      <w:r>
        <w:t>Governance remains independent of operational execution.</w:t>
      </w:r>
    </w:p>
    <w:p>
      <w:pPr>
        <w:pStyle w:val="ListBullet"/>
      </w:pPr>
      <w:r>
        <w:t>Enterprise Trust emerges through consistent Governance Attestations.</w:t>
      </w:r>
    </w:p>
    <w:p>
      <w:pPr>
        <w:pStyle w:val="Heading1"/>
        <w:keepNext/>
      </w:pPr>
      <w:r>
        <w:t>15. Traceability</w:t>
      </w:r>
    </w:p>
    <w:p>
      <w:pPr>
        <w:pStyle w:val="Heading2"/>
        <w:keepNext/>
      </w:pPr>
      <w:r>
        <w:t>Enterprise Architecture</w:t>
      </w:r>
    </w:p>
    <w:p>
      <w:pPr>
        <w:pStyle w:val="ListBullet"/>
      </w:pPr>
      <w:r>
        <w:t>EAH-001</w:t>
      </w:r>
    </w:p>
    <w:p>
      <w:pPr>
        <w:pStyle w:val="Heading2"/>
        <w:keepNext/>
      </w:pPr>
      <w:r>
        <w:t>Architecture Decisions</w:t>
      </w:r>
    </w:p>
    <w:p>
      <w:pPr>
        <w:pStyle w:val="ListBullet"/>
      </w:pPr>
      <w:r>
        <w:t>RFC-010</w:t>
      </w:r>
    </w:p>
    <w:p>
      <w:pPr>
        <w:pStyle w:val="ListBullet"/>
      </w:pPr>
      <w:r>
        <w:t>RFC-011</w:t>
      </w:r>
    </w:p>
    <w:p>
      <w:pPr>
        <w:pStyle w:val="Heading2"/>
        <w:keepNext/>
      </w:pPr>
      <w:r>
        <w:t>Canonical Enterprise Ontology</w:t>
      </w:r>
    </w:p>
    <w:p>
      <w:pPr>
        <w:pStyle w:val="ListBullet"/>
      </w:pPr>
      <w:r>
        <w:t>CDD-003 Revision 2</w:t>
      </w:r>
    </w:p>
    <w:p>
      <w:pPr>
        <w:pStyle w:val="Heading2"/>
        <w:keepNext/>
      </w:pPr>
      <w:r>
        <w:t>Canonical Attributes</w:t>
      </w:r>
    </w:p>
    <w:p>
      <w:pPr>
        <w:pStyle w:val="ListBullet"/>
      </w:pPr>
      <w:r>
        <w:t>EAD-001</w:t>
      </w:r>
    </w:p>
    <w:p>
      <w:pPr>
        <w:pStyle w:val="Heading2"/>
        <w:keepNext/>
      </w:pPr>
      <w:r>
        <w:t>Business Capability Specifications</w:t>
      </w:r>
    </w:p>
    <w:p>
      <w:pPr>
        <w:pStyle w:val="ListBullet"/>
      </w:pPr>
      <w:r>
        <w:t>ERM-001 v2.2</w:t>
      </w:r>
    </w:p>
    <w:p>
      <w:pPr>
        <w:pStyle w:val="ListBullet"/>
      </w:pPr>
      <w:r>
        <w:t>SRM-001 v2.2</w:t>
      </w:r>
    </w:p>
    <w:p>
      <w:pPr>
        <w:pStyle w:val="ListBullet"/>
      </w:pPr>
      <w:r>
        <w:t>ASM-001 v2.2</w:t>
      </w:r>
    </w:p>
    <w:p>
      <w:pPr>
        <w:pStyle w:val="ListBullet"/>
      </w:pPr>
      <w:r>
        <w:t>AEM-001 v1.1</w:t>
      </w:r>
    </w:p>
    <w:p>
      <w:pPr>
        <w:pStyle w:val="ListBullet"/>
      </w:pPr>
      <w:r>
        <w:t>KRM-001 v1.4</w:t>
      </w:r>
    </w:p>
    <w:p>
      <w:pPr>
        <w:pStyle w:val="ListBullet"/>
      </w:pPr>
      <w:r>
        <w:t>DRM-001 v1.2</w:t>
      </w:r>
    </w:p>
    <w:p>
      <w:pPr>
        <w:pStyle w:val="ListBullet"/>
      </w:pPr>
      <w:r>
        <w:t>GEM-001 v1.1</w:t>
      </w:r>
    </w:p>
    <w:p>
      <w:pPr>
        <w:pStyle w:val="ListBullet"/>
      </w:pPr>
      <w:r>
        <w:t>GRM-001 v1.2</w:t>
      </w:r>
    </w:p>
    <w:p>
      <w:pPr>
        <w:pStyle w:val="Heading2"/>
        <w:keepNext/>
      </w:pPr>
      <w:r>
        <w:t>Engineering Standard</w:t>
      </w:r>
    </w:p>
    <w:p>
      <w:pPr>
        <w:pStyle w:val="ListBullet"/>
      </w:pPr>
      <w:r>
        <w:t>CDS-001 v1.3</w:t>
      </w:r>
    </w:p>
    <w:p>
      <w:pPr>
        <w:pStyle w:val="Heading1"/>
        <w:keepNext/>
      </w:pPr>
      <w:r>
        <w:t>16. Governance Philosophy</w:t>
      </w:r>
    </w:p>
    <w:p>
      <w:pPr/>
      <w:r>
        <w:t>Enterprise Governance exists to establish justified trust in enterprise understanding—not by changing understanding, but by independently evaluating it against governing enterprise policies.</w:t>
      </w:r>
    </w:p>
    <w:p>
      <w:pPr/>
      <w:r>
        <w:t>Governance does not determine what the enterprise knows.</w:t>
      </w:r>
    </w:p>
    <w:p>
      <w:pPr/>
      <w:r>
        <w:t>Governance does not determine what the enterprise should do.</w:t>
      </w:r>
    </w:p>
    <w:p>
      <w:pPr/>
      <w:r>
        <w:t>Governance determines whether enterprise understanding can be trusted under its governing policies.</w:t>
      </w:r>
    </w:p>
    <w:p>
      <w:pPr/>
      <w:r>
        <w:t>Enterprise Trust emerges from the consistent, explainable, immutable, and traceable application of outcome-neutral Governance Attestations—including positive and negative attestations—across enterprise understanding.</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GRM-001 — Governance Business Capability Specification</dc:title>
  <dc:subject>GRM-001 v1.1 FROZEN — Clarification Release; authoritative for CDD-009</dc:subject>
  <dc:creator>CTEC</dc:creator>
  <cp:keywords/>
  <dc:description>Dependency reconciliation clarification: current upstream BCS authorities; Governance semantics unchanged.</dc:description>
  <cp:lastModifiedBy/>
  <cp:revision>1</cp:revision>
  <dcterms:created xsi:type="dcterms:W3CDTF">2013-12-23T23:15:00Z</dcterms:created>
  <dcterms:modified xsi:type="dcterms:W3CDTF">2013-12-23T23:15:00Z</dcterms:modified>
  <cp:category/>
  <cp:version>1.2</cp:version>
</cp:coreProperties>
</file>