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80"/>
      </w:pPr>
      <w:r>
        <w:rPr>
          <w:rFonts w:ascii="Calibri" w:hAnsi="Calibri"/>
          <w:b/>
          <w:color w:val="2E74B5"/>
          <w:sz w:val="32"/>
        </w:rPr>
        <w:t>RFC-013</w:t>
      </w:r>
    </w:p>
    <w:p>
      <w:pPr>
        <w:spacing w:after="160"/>
      </w:pPr>
      <w:r>
        <w:rPr>
          <w:rFonts w:ascii="Calibri" w:hAnsi="Calibri"/>
          <w:b/>
          <w:color w:val="243447"/>
          <w:sz w:val="52"/>
        </w:rPr>
        <w:t>Governance Authority and Evaluation Separation</w:t>
      </w:r>
    </w:p>
    <w:p>
      <w:pPr>
        <w:spacing w:after="480"/>
      </w:pPr>
      <w:r>
        <w:rPr>
          <w:color w:val="505A64"/>
          <w:sz w:val="26"/>
        </w:rPr>
        <w:t>Elimination of the Acceptance Evidence circular dependency</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Field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Value</w:t>
            </w:r>
          </w:p>
        </w:tc>
      </w:tr>
      <w:tr>
        <w:tc>
          <w:tcPr>
            <w:tcW w:type="dxa" w:w="2376"/>
            <w:vAlign w:val="center"/>
            <w:tcMar>
              <w:top w:w="90" w:type="dxa"/>
              <w:start w:w="120" w:type="dxa"/>
              <w:bottom w:w="90" w:type="dxa"/>
              <w:end w:w="120" w:type="dxa"/>
            </w:tcMar>
          </w:tcPr>
          <w:p>
            <w:pPr>
              <w:spacing w:after="0"/>
            </w:pPr>
            <w:r/>
            <w:r>
              <w:rPr>
                <w:rFonts w:ascii="Calibri" w:hAnsi="Calibri"/>
                <w:b w:val="0"/>
                <w:sz w:val="19"/>
              </w:rPr>
              <w:t>Document ID</w:t>
            </w:r>
          </w:p>
        </w:tc>
        <w:tc>
          <w:tcPr>
            <w:tcW w:type="dxa" w:w="6984"/>
            <w:vAlign w:val="center"/>
            <w:tcMar>
              <w:top w:w="90" w:type="dxa"/>
              <w:start w:w="120" w:type="dxa"/>
              <w:bottom w:w="90" w:type="dxa"/>
              <w:end w:w="120" w:type="dxa"/>
            </w:tcMar>
          </w:tcPr>
          <w:p>
            <w:pPr>
              <w:spacing w:after="0"/>
            </w:pPr>
            <w:r/>
            <w:r>
              <w:rPr>
                <w:rFonts w:ascii="Calibri" w:hAnsi="Calibri"/>
                <w:b w:val="0"/>
                <w:sz w:val="19"/>
              </w:rPr>
              <w:t>RFC-013</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Version</w:t>
            </w:r>
          </w:p>
        </w:tc>
        <w:tc>
          <w:tcPr>
            <w:tcW w:type="dxa" w:w="6984"/>
            <w:vAlign w:val="center"/>
            <w:tcMar>
              <w:top w:w="90" w:type="dxa"/>
              <w:start w:w="120" w:type="dxa"/>
              <w:bottom w:w="90" w:type="dxa"/>
              <w:end w:w="120" w:type="dxa"/>
            </w:tcMar>
            <w:shd w:fill="F8FAFC"/>
          </w:tcPr>
          <w:p>
            <w:r>
              <w:t>1.1</w:t>
            </w:r>
          </w:p>
        </w:tc>
      </w:tr>
      <w:tr>
        <w:tc>
          <w:tcPr>
            <w:tcW w:type="dxa" w:w="2376"/>
            <w:vAlign w:val="center"/>
            <w:tcMar>
              <w:top w:w="90" w:type="dxa"/>
              <w:start w:w="120" w:type="dxa"/>
              <w:bottom w:w="90" w:type="dxa"/>
              <w:end w:w="120" w:type="dxa"/>
            </w:tcMar>
          </w:tcPr>
          <w:p>
            <w:pPr>
              <w:spacing w:after="0"/>
            </w:pPr>
            <w:r/>
            <w:r>
              <w:rPr>
                <w:rFonts w:ascii="Calibri" w:hAnsi="Calibri"/>
                <w:b w:val="0"/>
                <w:sz w:val="19"/>
              </w:rPr>
              <w:t>Status</w:t>
            </w:r>
          </w:p>
        </w:tc>
        <w:tc>
          <w:tcPr>
            <w:tcW w:type="dxa" w:w="6984"/>
            <w:vAlign w:val="center"/>
            <w:tcMar>
              <w:top w:w="90" w:type="dxa"/>
              <w:start w:w="120" w:type="dxa"/>
              <w:bottom w:w="90" w:type="dxa"/>
              <w:end w:w="120" w:type="dxa"/>
            </w:tcMar>
          </w:tcPr>
          <w:p>
            <w:pPr>
              <w:spacing w:after="0"/>
            </w:pPr>
            <w:r/>
            <w:r>
              <w:rPr>
                <w:rFonts w:ascii="Calibri" w:hAnsi="Calibri"/>
                <w:b w:val="0"/>
                <w:sz w:val="19"/>
              </w:rPr>
              <w:t>FROZEN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Document Type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Architecture Decision / Boundary Clarification</w:t>
            </w:r>
          </w:p>
        </w:tc>
      </w:tr>
      <w:tr>
        <w:tc>
          <w:tcPr>
            <w:tcW w:type="dxa" w:w="2376"/>
            <w:vAlign w:val="center"/>
            <w:tcMar>
              <w:top w:w="90" w:type="dxa"/>
              <w:start w:w="120" w:type="dxa"/>
              <w:bottom w:w="90" w:type="dxa"/>
              <w:end w:w="120" w:type="dxa"/>
            </w:tcMar>
          </w:tcPr>
          <w:p>
            <w:pPr>
              <w:spacing w:after="0"/>
            </w:pPr>
            <w:r/>
            <w:r>
              <w:rPr>
                <w:rFonts w:ascii="Calibri" w:hAnsi="Calibri"/>
                <w:b w:val="0"/>
                <w:sz w:val="19"/>
              </w:rPr>
              <w:t>Authority</w:t>
            </w:r>
          </w:p>
        </w:tc>
        <w:tc>
          <w:tcPr>
            <w:tcW w:type="dxa" w:w="6984"/>
            <w:vAlign w:val="center"/>
            <w:tcMar>
              <w:top w:w="90" w:type="dxa"/>
              <w:start w:w="120" w:type="dxa"/>
              <w:bottom w:w="90" w:type="dxa"/>
              <w:end w:w="120" w:type="dxa"/>
            </w:tcMar>
          </w:tcPr>
          <w:p>
            <w:pPr>
              <w:spacing w:after="0"/>
            </w:pPr>
            <w:r/>
            <w:r>
              <w:rPr>
                <w:rFonts w:ascii="Calibri" w:hAnsi="Calibri"/>
                <w:b w:val="0"/>
                <w:sz w:val="19"/>
              </w:rPr>
              <w:t>ECOM Architecture</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Clarifies</w:t>
            </w:r>
          </w:p>
        </w:tc>
        <w:tc>
          <w:tcPr>
            <w:tcW w:type="dxa" w:w="6984"/>
            <w:vAlign w:val="center"/>
            <w:tcMar>
              <w:top w:w="90" w:type="dxa"/>
              <w:start w:w="120" w:type="dxa"/>
              <w:bottom w:w="90" w:type="dxa"/>
              <w:end w:w="120" w:type="dxa"/>
            </w:tcMar>
            <w:shd w:fill="F8FAFC"/>
          </w:tcPr>
          <w:p>
            <w:pPr>
              <w:spacing w:after="0"/>
            </w:pPr>
            <w:r>
              <w:t>EAH-001; AEM-001 v1.1; KRM-001 v1.4; DRM-001 v1.2; GEM-001 v1.1; GRM-001 v1.2</w:t>
            </w:r>
          </w:p>
        </w:tc>
      </w:tr>
      <w:tr>
        <w:tc>
          <w:tcPr>
            <w:tcW w:type="dxa" w:w="2376"/>
            <w:vAlign w:val="center"/>
            <w:tcMar>
              <w:top w:w="90" w:type="dxa"/>
              <w:start w:w="120" w:type="dxa"/>
              <w:bottom w:w="90" w:type="dxa"/>
              <w:end w:w="120" w:type="dxa"/>
            </w:tcMar>
          </w:tcPr>
          <w:p>
            <w:pPr>
              <w:spacing w:after="0"/>
            </w:pPr>
            <w:r/>
            <w:r>
              <w:rPr>
                <w:rFonts w:ascii="Calibri" w:hAnsi="Calibri"/>
                <w:b w:val="0"/>
                <w:sz w:val="19"/>
              </w:rPr>
              <w:t>Scope</w:t>
            </w:r>
          </w:p>
        </w:tc>
        <w:tc>
          <w:tcPr>
            <w:tcW w:type="dxa" w:w="6984"/>
            <w:vAlign w:val="center"/>
            <w:tcMar>
              <w:top w:w="90" w:type="dxa"/>
              <w:start w:w="120" w:type="dxa"/>
              <w:bottom w:w="90" w:type="dxa"/>
              <w:end w:w="120" w:type="dxa"/>
            </w:tcMar>
          </w:tcPr>
          <w:p>
            <w:pPr>
              <w:spacing w:after="0"/>
            </w:pPr>
            <w:r/>
            <w:r>
              <w:rPr>
                <w:rFonts w:ascii="Calibri" w:hAnsi="Calibri"/>
                <w:b w:val="0"/>
                <w:sz w:val="19"/>
              </w:rPr>
              <w:t>Governance approval authority versus Governance Evaluation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Out of Scope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CEO changes, new business artifacts, implementation, technology, organization design</w:t>
            </w:r>
          </w:p>
        </w:tc>
      </w:tr>
    </w:tbl>
    <w:p>
      <w:pPr>
        <w:spacing w:after="20"/>
      </w:pPr>
    </w:p>
    <w:p>
      <w:pPr>
        <w:pStyle w:val="Heading1"/>
      </w:pPr>
      <w:r>
        <w:t>1. Purpose</w:t>
      </w:r>
    </w:p>
    <w:p>
      <w:r>
        <w:t>RFC-013 removes the circular dependency created when the word Governance is used both for the authority that grants institutional approval and for the downstream Governance Evaluation capability defined by GRM-001.</w:t>
      </w:r>
    </w:p>
    <w:p>
      <w:r>
        <w:t>This RFC separates those responsibilities without creating a new Canonical Enterprise Ontology entity, changing Acceptance Evidence, modifying cognitive outcomes, or prescribing implementation.</w:t>
      </w:r>
    </w:p>
    <w:p>
      <w:pPr>
        <w:pStyle w:val="Heading1"/>
      </w:pPr>
      <w:r>
        <w:t>2. Problem Statement</w:t>
      </w:r>
    </w:p>
    <w:p>
      <w:pPr>
        <w:keepLines/>
        <w:spacing w:before="120" w:after="200"/>
        <w:jc w:val="center"/>
      </w:pPr>
      <w:r>
        <w:rPr>
          <w:rFonts w:ascii="Courier New" w:hAnsi="Courier New"/>
          <w:color w:val="1F4D78"/>
          <w:sz w:val="20"/>
        </w:rPr>
        <w:t>Ambiguous Flow</w:t>
        <w:br/>
        <w:t>Governance → Acceptance Evidence → Knowledge → Decision → Governance</w:t>
      </w:r>
    </w:p>
    <w:p>
      <w:r>
        <w:t>AEM-001 states that Governance produces Acceptance Evidence, KRM-001 consumes that evidence to establish Institutional Knowledge, DRM-001 consumes Institutional Knowledge to establish Enterprise Decisions, and GRM-001 evaluates Knowledge and Decision records. If both uses of Governance refer to GRM-001, the architecture is circular.</w:t>
      </w:r>
    </w:p>
    <w:p>
      <w:pPr>
        <w:pStyle w:val="Heading1"/>
      </w:pPr>
      <w:r>
        <w:t>3. Decision</w:t>
      </w:r>
    </w:p>
    <w:p>
      <w:r>
        <w:rPr>
          <w:b/>
        </w:rPr>
        <w:t>Governance Authority and Governance Evaluation are distinct architectural responsibilities.</w:t>
      </w:r>
    </w:p>
    <w:p>
      <w:r>
        <w:t>Governance Authority may grant or withhold institutional approval and may produce the governed evidence contracts authorized by AEM-001 and GEM-001. Governance Evaluation is the cognitive assurance capability defined by GRM-001. It evaluates immutable cognitive records against policies and establishes Governance Attestations. It does not grant the approval needed by Knowledge and does not produce Acceptance Evidence.</w:t>
      </w:r>
    </w:p>
    <w:p>
      <w:r>
        <w:t>The term Governance Authority names an architectural role and responsibility boundary only. It is not a new CEO entity, business record, service, actor type, persistence model, or implementation component.</w:t>
      </w:r>
    </w:p>
    <w:p>
      <w:pPr>
        <w:pStyle w:val="Heading1"/>
      </w:pPr>
      <w:r>
        <w:t>4. Authoritative Definitions</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Term</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Definition</w:t>
            </w:r>
          </w:p>
        </w:tc>
      </w:tr>
      <w:tr>
        <w:tc>
          <w:tcPr>
            <w:tcW w:type="dxa" w:w="2376"/>
            <w:vAlign w:val="center"/>
            <w:tcMar>
              <w:top w:w="90" w:type="dxa"/>
              <w:start w:w="120" w:type="dxa"/>
              <w:bottom w:w="90" w:type="dxa"/>
              <w:end w:w="120" w:type="dxa"/>
            </w:tcMar>
          </w:tcPr>
          <w:p>
            <w:pPr>
              <w:spacing w:after="0"/>
            </w:pPr>
            <w:r/>
            <w:r>
              <w:rPr>
                <w:rFonts w:ascii="Calibri" w:hAnsi="Calibri"/>
                <w:b w:val="0"/>
                <w:sz w:val="19"/>
              </w:rPr>
              <w:t>Governance Authority</w:t>
            </w:r>
          </w:p>
        </w:tc>
        <w:tc>
          <w:tcPr>
            <w:tcW w:type="dxa" w:w="6984"/>
            <w:vAlign w:val="center"/>
            <w:tcMar>
              <w:top w:w="90" w:type="dxa"/>
              <w:start w:w="120" w:type="dxa"/>
              <w:bottom w:w="90" w:type="dxa"/>
              <w:end w:w="120" w:type="dxa"/>
            </w:tcMar>
          </w:tcPr>
          <w:p>
            <w:pPr>
              <w:spacing w:after="0"/>
            </w:pPr>
            <w:r/>
            <w:r>
              <w:rPr>
                <w:rFonts w:ascii="Calibri" w:hAnsi="Calibri"/>
                <w:b w:val="0"/>
                <w:sz w:val="19"/>
              </w:rPr>
              <w:t>A policy-authorized institutional role or authority boundary empowered to grant approval or an exception and to produce the corresponding governed evidence contract. CAM-001 projection and GRM-001 evaluation do not create this authority.</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Acceptance Evidence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immutable business artifact defined by AEM-001 that documents institutional acceptance of exactly one Assertion. It is produced under Governance Authority and consumed by Knowledge.</w:t>
            </w:r>
          </w:p>
        </w:tc>
      </w:tr>
      <w:tr>
        <w:tc>
          <w:tcPr>
            <w:tcW w:type="dxa" w:w="2376"/>
            <w:vAlign w:val="center"/>
            <w:tcMar>
              <w:top w:w="90" w:type="dxa"/>
              <w:start w:w="120" w:type="dxa"/>
              <w:bottom w:w="90" w:type="dxa"/>
              <w:end w:w="120" w:type="dxa"/>
            </w:tcMar>
          </w:tcPr>
          <w:p>
            <w:pPr>
              <w:spacing w:after="0"/>
            </w:pPr>
            <w:r/>
            <w:r>
              <w:rPr>
                <w:rFonts w:ascii="Calibri" w:hAnsi="Calibri"/>
                <w:b w:val="0"/>
                <w:sz w:val="19"/>
              </w:rPr>
              <w:t>Exception Authorization</w:t>
            </w:r>
          </w:p>
        </w:tc>
        <w:tc>
          <w:tcPr>
            <w:tcW w:type="dxa" w:w="6984"/>
            <w:vAlign w:val="center"/>
            <w:tcMar>
              <w:top w:w="90" w:type="dxa"/>
              <w:start w:w="120" w:type="dxa"/>
              <w:bottom w:w="90" w:type="dxa"/>
              <w:end w:w="120" w:type="dxa"/>
            </w:tcMar>
          </w:tcPr>
          <w:p>
            <w:pPr>
              <w:spacing w:after="0"/>
            </w:pPr>
            <w:r/>
            <w:r>
              <w:rPr>
                <w:rFonts w:ascii="Calibri" w:hAnsi="Calibri"/>
                <w:b w:val="0"/>
                <w:sz w:val="19"/>
              </w:rPr>
              <w:t>The immutable business artifact defined by GEM-001 that documents an authorized policy deviation. It is produced under Governance Authority and consumed by Governance Evaluation for Exception Granted.</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Governance Evaluation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GRM-001 capability that evaluates an immutable governed record against a governing policy.</w:t>
            </w:r>
          </w:p>
        </w:tc>
      </w:tr>
      <w:tr>
        <w:tc>
          <w:tcPr>
            <w:tcW w:type="dxa" w:w="2376"/>
            <w:vAlign w:val="center"/>
            <w:tcMar>
              <w:top w:w="90" w:type="dxa"/>
              <w:start w:w="120" w:type="dxa"/>
              <w:bottom w:w="90" w:type="dxa"/>
              <w:end w:w="120" w:type="dxa"/>
            </w:tcMar>
          </w:tcPr>
          <w:p>
            <w:pPr>
              <w:spacing w:after="0"/>
            </w:pPr>
            <w:r/>
            <w:r>
              <w:rPr>
                <w:rFonts w:ascii="Calibri" w:hAnsi="Calibri"/>
                <w:b w:val="0"/>
                <w:sz w:val="19"/>
              </w:rPr>
              <w:t>Governance Attestation</w:t>
            </w:r>
          </w:p>
        </w:tc>
        <w:tc>
          <w:tcPr>
            <w:tcW w:type="dxa" w:w="6984"/>
            <w:vAlign w:val="center"/>
            <w:tcMar>
              <w:top w:w="90" w:type="dxa"/>
              <w:start w:w="120" w:type="dxa"/>
              <w:bottom w:w="90" w:type="dxa"/>
              <w:end w:w="120" w:type="dxa"/>
            </w:tcMar>
          </w:tcPr>
          <w:p>
            <w:pPr>
              <w:spacing w:after="0"/>
            </w:pPr>
            <w:r/>
            <w:r>
              <w:rPr>
                <w:rFonts w:ascii="Calibri" w:hAnsi="Calibri"/>
                <w:b w:val="0"/>
                <w:sz w:val="19"/>
              </w:rPr>
              <w:t>The outcome-neutral business outcome established by a Governance Evaluation Record. It is not Acceptance Evidence and cannot substitute for it.</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Enterprise Trust</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emergent property established through the collective body of Governance Attestations. It is not approval evidence and does not institutionalize Knowledge.</w:t>
            </w:r>
          </w:p>
        </w:tc>
      </w:tr>
    </w:tbl>
    <w:p>
      <w:pPr>
        <w:spacing w:after="20"/>
      </w:pPr>
    </w:p>
    <w:p>
      <w:pPr>
        <w:pStyle w:val="Heading1"/>
      </w:pPr>
      <w:r>
        <w:t>5. Responsibility Separation</w:t>
      </w:r>
    </w:p>
    <w:tbl>
      <w:tblPr>
        <w:tblStyle w:val="TableGrid"/>
        <w:tblW w:type="auto" w:w="0"/>
        <w:tblLayout w:type="fixed"/>
        <w:tblLook w:firstColumn="1" w:firstRow="1" w:lastColumn="0" w:lastRow="0" w:noHBand="0" w:noVBand="1" w:val="04A0"/>
      </w:tblPr>
      <w:tblGrid>
        <w:gridCol w:w="3672"/>
        <w:gridCol w:w="2808"/>
        <w:gridCol w:w="2880"/>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Responsibility</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Governance Authority</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Governance Evaluation</w:t>
            </w:r>
          </w:p>
        </w:tc>
      </w:tr>
      <w:tr>
        <w:tc>
          <w:tcPr>
            <w:tcW w:type="dxa" w:w="3672"/>
            <w:vAlign w:val="center"/>
            <w:tcMar>
              <w:top w:w="90" w:type="dxa"/>
              <w:start w:w="120" w:type="dxa"/>
              <w:bottom w:w="90" w:type="dxa"/>
              <w:end w:w="120" w:type="dxa"/>
            </w:tcMar>
          </w:tcPr>
          <w:p>
            <w:pPr>
              <w:spacing w:after="0"/>
            </w:pPr>
            <w:r/>
            <w:r>
              <w:rPr>
                <w:rFonts w:ascii="Calibri" w:hAnsi="Calibri"/>
                <w:b w:val="0"/>
                <w:sz w:val="19"/>
              </w:rPr>
              <w:t>Author policy</w:t>
            </w:r>
          </w:p>
        </w:tc>
        <w:tc>
          <w:tcPr>
            <w:tcW w:type="dxa" w:w="2808"/>
            <w:vAlign w:val="center"/>
            <w:tcMar>
              <w:top w:w="90" w:type="dxa"/>
              <w:start w:w="120" w:type="dxa"/>
              <w:bottom w:w="90" w:type="dxa"/>
              <w:end w:w="120" w:type="dxa"/>
            </w:tcMar>
          </w:tcPr>
          <w:p>
            <w:pPr>
              <w:spacing w:after="0"/>
            </w:pPr>
            <w:r/>
            <w:r>
              <w:rPr>
                <w:rFonts w:ascii="Calibri" w:hAnsi="Calibri"/>
                <w:b w:val="0"/>
                <w:sz w:val="19"/>
              </w:rPr>
              <w:t>Outside this RFC; may be performed by an authorized policy owner</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Grant institutional acceptance</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Yes</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Produce Acceptance Evidence</w:t>
            </w:r>
          </w:p>
        </w:tc>
        <w:tc>
          <w:tcPr>
            <w:tcW w:type="dxa" w:w="2808"/>
            <w:vAlign w:val="center"/>
            <w:tcMar>
              <w:top w:w="90" w:type="dxa"/>
              <w:start w:w="120" w:type="dxa"/>
              <w:bottom w:w="90" w:type="dxa"/>
              <w:end w:w="120" w:type="dxa"/>
            </w:tcMar>
          </w:tcPr>
          <w:p>
            <w:pPr>
              <w:spacing w:after="0"/>
            </w:pPr>
            <w:r/>
            <w:r>
              <w:rPr>
                <w:rFonts w:ascii="Calibri" w:hAnsi="Calibri"/>
                <w:b w:val="0"/>
                <w:sz w:val="19"/>
              </w:rPr>
              <w:t>Yes, under AEM-001</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Grant policy exception</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Yes, under the authorized institutional process</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Produce Exception Authorization</w:t>
            </w:r>
          </w:p>
        </w:tc>
        <w:tc>
          <w:tcPr>
            <w:tcW w:type="dxa" w:w="2808"/>
            <w:vAlign w:val="center"/>
            <w:tcMar>
              <w:top w:w="90" w:type="dxa"/>
              <w:start w:w="120" w:type="dxa"/>
              <w:bottom w:w="90" w:type="dxa"/>
              <w:end w:w="120" w:type="dxa"/>
            </w:tcMar>
          </w:tcPr>
          <w:p>
            <w:pPr>
              <w:spacing w:after="0"/>
            </w:pPr>
            <w:r/>
            <w:r>
              <w:rPr>
                <w:rFonts w:ascii="Calibri" w:hAnsi="Calibri"/>
                <w:b w:val="0"/>
                <w:sz w:val="19"/>
              </w:rPr>
              <w:t>Yes, under GEM-001</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Evaluate a cognitive record against policy</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No</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Yes</w:t>
            </w:r>
          </w:p>
        </w:tc>
      </w:tr>
      <w:tr>
        <w:tc>
          <w:tcPr>
            <w:tcW w:type="dxa" w:w="3672"/>
            <w:vAlign w:val="center"/>
            <w:tcMar>
              <w:top w:w="90" w:type="dxa"/>
              <w:start w:w="120" w:type="dxa"/>
              <w:bottom w:w="90" w:type="dxa"/>
              <w:end w:w="120" w:type="dxa"/>
            </w:tcMar>
          </w:tcPr>
          <w:p>
            <w:pPr>
              <w:spacing w:after="0"/>
            </w:pPr>
            <w:r/>
            <w:r>
              <w:rPr>
                <w:rFonts w:ascii="Calibri" w:hAnsi="Calibri"/>
                <w:b w:val="0"/>
                <w:sz w:val="19"/>
              </w:rPr>
              <w:t>Establish Governance Attestation</w:t>
            </w:r>
          </w:p>
        </w:tc>
        <w:tc>
          <w:tcPr>
            <w:tcW w:type="dxa" w:w="2808"/>
            <w:vAlign w:val="center"/>
            <w:tcMar>
              <w:top w:w="90" w:type="dxa"/>
              <w:start w:w="120" w:type="dxa"/>
              <w:bottom w:w="90" w:type="dxa"/>
              <w:end w:w="120" w:type="dxa"/>
            </w:tcMar>
          </w:tcPr>
          <w:p>
            <w:pPr>
              <w:spacing w:after="0"/>
            </w:pPr>
            <w:r/>
            <w:r>
              <w:rPr>
                <w:rFonts w:ascii="Calibri" w:hAnsi="Calibri"/>
                <w:b w:val="0"/>
                <w:sz w:val="19"/>
              </w:rPr>
              <w:t>No</w:t>
            </w:r>
          </w:p>
        </w:tc>
        <w:tc>
          <w:tcPr>
            <w:tcW w:type="dxa" w:w="2880"/>
            <w:vAlign w:val="center"/>
            <w:tcMar>
              <w:top w:w="90" w:type="dxa"/>
              <w:start w:w="120" w:type="dxa"/>
              <w:bottom w:w="90" w:type="dxa"/>
              <w:end w:w="120" w:type="dxa"/>
            </w:tcMar>
          </w:tcPr>
          <w:p>
            <w:pPr>
              <w:spacing w:after="0"/>
            </w:pPr>
            <w:r/>
            <w:r>
              <w:rPr>
                <w:rFonts w:ascii="Calibri" w:hAnsi="Calibri"/>
                <w:b w:val="0"/>
                <w:sz w:val="19"/>
              </w:rPr>
              <w:t>Yes</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Create or modify Knowledge or Decision</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No</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Execute operational action</w:t>
            </w:r>
          </w:p>
        </w:tc>
        <w:tc>
          <w:tcPr>
            <w:tcW w:type="dxa" w:w="2808"/>
            <w:vAlign w:val="center"/>
            <w:tcMar>
              <w:top w:w="90" w:type="dxa"/>
              <w:start w:w="120" w:type="dxa"/>
              <w:bottom w:w="90" w:type="dxa"/>
              <w:end w:w="120" w:type="dxa"/>
            </w:tcMar>
          </w:tcPr>
          <w:p>
            <w:pPr>
              <w:spacing w:after="0"/>
            </w:pPr>
            <w:r/>
            <w:r>
              <w:rPr>
                <w:rFonts w:ascii="Calibri" w:hAnsi="Calibri"/>
                <w:b w:val="0"/>
                <w:sz w:val="19"/>
              </w:rPr>
              <w:t>No</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bl>
    <w:p>
      <w:pPr>
        <w:spacing w:after="20"/>
      </w:pPr>
    </w:p>
    <w:p>
      <w:pPr>
        <w:pStyle w:val="Heading1"/>
      </w:pPr>
      <w:r>
        <w:t>6. Corrected Dependency Flow</w:t>
      </w:r>
    </w:p>
    <w:p>
      <w:pPr>
        <w:spacing w:before="120" w:after="200"/>
        <w:jc w:val="center"/>
      </w:pPr>
      <w:r>
        <w:rPr>
          <w:rFonts w:ascii="Courier New" w:hAnsi="Courier New"/>
          <w:color w:val="1F4D78"/>
          <w:sz w:val="20"/>
        </w:rPr>
        <w:t>Governance Authority</w:t>
        <w:br/>
        <w:t xml:space="preserve">        │</w:t>
        <w:br/>
        <w:t xml:space="preserve">        ▼</w:t>
        <w:br/>
        <w:t>Acceptance Evidence (AEM-001)</w:t>
        <w:br/>
        <w:t xml:space="preserve">        │</w:t>
        <w:br/>
        <w:t xml:space="preserve">        ▼</w:t>
        <w:br/>
        <w:t>Knowledge Evaluation (KRM-001)</w:t>
        <w:br/>
        <w:t xml:space="preserve">        │</w:t>
        <w:br/>
        <w:t xml:space="preserve">        ▼</w:t>
        <w:br/>
        <w:t>Institutional Knowledge</w:t>
        <w:br/>
        <w:t xml:space="preserve">        │</w:t>
        <w:br/>
        <w:t xml:space="preserve">        ▼</w:t>
        <w:br/>
        <w:t>Decision Evaluation (DRM-001)</w:t>
        <w:br/>
        <w:t xml:space="preserve">        │</w:t>
        <w:br/>
        <w:t xml:space="preserve">        ▼</w:t>
        <w:br/>
        <w:t>Enterprise Decision</w:t>
        <w:br/>
        <w:t xml:space="preserve">        │</w:t>
        <w:br/>
        <w:t xml:space="preserve">        ▼</w:t>
        <w:br/>
        <w:t>Governance Evaluation (GRM-001)</w:t>
        <w:br/>
        <w:t xml:space="preserve">        │</w:t>
        <w:br/>
        <w:t xml:space="preserve">        ▼</w:t>
        <w:br/>
        <w:t>Governance Attestation</w:t>
      </w:r>
    </w:p>
    <w:p>
      <w:r>
        <w:t>The flow is acyclic because the Governance Evaluation capability is not the source of Acceptance Evidence. Governance Evaluation may independently evaluate records at any cognitive stage, but its attestation never becomes the approval evidence required to create an earlier-stage outcome.</w:t>
      </w:r>
    </w:p>
    <w:p>
      <w:pPr>
        <w:pStyle w:val="Heading1"/>
      </w:pPr>
      <w:r>
        <w:t>7. Evidence Contract Rules</w:t>
      </w:r>
    </w:p>
    <w:tbl>
      <w:tblPr>
        <w:tblStyle w:val="TableGrid"/>
        <w:tblW w:type="auto" w:w="0"/>
        <w:tblLayout w:type="fixed"/>
        <w:tblLook w:firstColumn="1" w:firstRow="1" w:lastColumn="0" w:lastRow="0" w:noHBand="0" w:noVBand="1" w:val="04A0"/>
      </w:tblPr>
      <w:tblGrid>
        <w:gridCol w:w="1800"/>
        <w:gridCol w:w="7560"/>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Rule</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Statement</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RFC-013-01</w:t>
            </w:r>
          </w:p>
        </w:tc>
        <w:tc>
          <w:tcPr>
            <w:tcW w:type="dxa" w:w="7560"/>
            <w:vAlign w:val="center"/>
            <w:tcMar>
              <w:top w:w="90" w:type="dxa"/>
              <w:start w:w="120" w:type="dxa"/>
              <w:bottom w:w="90" w:type="dxa"/>
              <w:end w:w="120" w:type="dxa"/>
            </w:tcMar>
          </w:tcPr>
          <w:p>
            <w:pPr>
              <w:spacing w:after="0"/>
            </w:pPr>
            <w:r/>
            <w:r>
              <w:rPr>
                <w:rFonts w:ascii="Calibri" w:hAnsi="Calibri"/>
                <w:b w:val="0"/>
                <w:sz w:val="19"/>
              </w:rPr>
              <w:t>Acceptance Evidence SHALL be produced under Governance Authority, not by the GRM-001 Governance Evaluation capability.</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RFC-013-02</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A Governance Attestation SHALL NOT satisfy, replace, imply, or generate Acceptance Evidence.</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RFC-013-03</w:t>
            </w:r>
          </w:p>
        </w:tc>
        <w:tc>
          <w:tcPr>
            <w:tcW w:type="dxa" w:w="7560"/>
            <w:vAlign w:val="center"/>
            <w:tcMar>
              <w:top w:w="90" w:type="dxa"/>
              <w:start w:w="120" w:type="dxa"/>
              <w:bottom w:w="90" w:type="dxa"/>
              <w:end w:w="120" w:type="dxa"/>
            </w:tcMar>
          </w:tcPr>
          <w:p>
            <w:pPr>
              <w:spacing w:after="0"/>
            </w:pPr>
            <w:r/>
            <w:r>
              <w:rPr>
                <w:rFonts w:ascii="Calibri" w:hAnsi="Calibri"/>
                <w:b w:val="0"/>
                <w:sz w:val="19"/>
              </w:rPr>
              <w:t>Enterprise Trust SHALL NOT satisfy, replace, imply, or generate Acceptance Evidence.</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RFC-013-04</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Knowledge SHALL evaluate Acceptance Evidence and SHALL NOT grant approval.</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RFC-013-05</w:t>
            </w:r>
          </w:p>
        </w:tc>
        <w:tc>
          <w:tcPr>
            <w:tcW w:type="dxa" w:w="7560"/>
            <w:vAlign w:val="center"/>
            <w:tcMar>
              <w:top w:w="90" w:type="dxa"/>
              <w:start w:w="120" w:type="dxa"/>
              <w:bottom w:w="90" w:type="dxa"/>
              <w:end w:w="120" w:type="dxa"/>
            </w:tcMar>
          </w:tcPr>
          <w:p>
            <w:pPr>
              <w:spacing w:after="0"/>
            </w:pPr>
            <w:r/>
            <w:r>
              <w:rPr>
                <w:rFonts w:ascii="Calibri" w:hAnsi="Calibri"/>
                <w:b w:val="0"/>
                <w:sz w:val="19"/>
              </w:rPr>
              <w:t>Decision SHALL consume Institutional Knowledge and SHALL NOT grant approval.</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RFC-013-06</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Governance Evaluation SHALL evaluate governed records and SHALL NOT create or modify those records.</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RFC-013-07</w:t>
            </w:r>
          </w:p>
        </w:tc>
        <w:tc>
          <w:tcPr>
            <w:tcW w:type="dxa" w:w="7560"/>
            <w:vAlign w:val="center"/>
            <w:tcMar>
              <w:top w:w="90" w:type="dxa"/>
              <w:start w:w="120" w:type="dxa"/>
              <w:bottom w:w="90" w:type="dxa"/>
              <w:end w:w="120" w:type="dxa"/>
            </w:tcMar>
          </w:tcPr>
          <w:p>
            <w:pPr>
              <w:spacing w:after="0"/>
            </w:pPr>
            <w:r/>
            <w:r>
              <w:rPr>
                <w:rFonts w:ascii="Calibri" w:hAnsi="Calibri"/>
                <w:b w:val="0"/>
                <w:sz w:val="19"/>
              </w:rPr>
              <w:t>Exception Authorization remains distinct from Governance Attestation and is governed by GEM-001.</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RFC-013-08</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No evidence contract may be inferred solely from a successful runtime execution or Governance Outcome.</w:t>
            </w:r>
          </w:p>
        </w:tc>
      </w:tr>
    </w:tbl>
    <w:p>
      <w:pPr>
        <w:spacing w:after="20"/>
      </w:pPr>
    </w:p>
    <w:p>
      <w:pPr>
        <w:pStyle w:val="Heading1"/>
      </w:pPr>
      <w:r>
        <w:t>8. Interpretive Corrections to Existing Documents</w:t>
      </w:r>
    </w:p>
    <w:p>
      <w:r>
        <w:t>RFC-013 governs the interpretation of the following existing wording without rewriting the frozen source documents:</w:t>
      </w:r>
    </w:p>
    <w:tbl>
      <w:tblPr>
        <w:tblStyle w:val="TableGrid"/>
        <w:tblW w:type="auto" w:w="0"/>
        <w:tblLayout w:type="fixed"/>
        <w:tblLook w:firstColumn="1" w:firstRow="1" w:lastColumn="0" w:lastRow="0" w:noHBand="0" w:noVBand="1" w:val="04A0"/>
      </w:tblPr>
      <w:tblGrid>
        <w:gridCol w:w="3240"/>
        <w:gridCol w:w="6120"/>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Existing wording</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Authoritative interpretation under RFC-013</w:t>
            </w:r>
          </w:p>
        </w:tc>
      </w:tr>
      <w:tr>
        <w:tc>
          <w:tcPr>
            <w:tcW w:type="dxa" w:w="3240"/>
            <w:vAlign w:val="center"/>
            <w:tcMar>
              <w:top w:w="90" w:type="dxa"/>
              <w:start w:w="120" w:type="dxa"/>
              <w:bottom w:w="90" w:type="dxa"/>
              <w:end w:w="120" w:type="dxa"/>
            </w:tcMar>
          </w:tcPr>
          <w:p>
            <w:pPr>
              <w:spacing w:after="0"/>
            </w:pPr>
            <w:r/>
            <w:r>
              <w:rPr>
                <w:rFonts w:ascii="Calibri" w:hAnsi="Calibri"/>
                <w:b w:val="0"/>
                <w:sz w:val="19"/>
              </w:rPr>
              <w:t>AEM-001: “Produced by Governance”</w:t>
            </w:r>
          </w:p>
        </w:tc>
        <w:tc>
          <w:tcPr>
            <w:tcW w:type="dxa" w:w="6120"/>
            <w:vAlign w:val="center"/>
            <w:tcMar>
              <w:top w:w="90" w:type="dxa"/>
              <w:start w:w="120" w:type="dxa"/>
              <w:bottom w:w="90" w:type="dxa"/>
              <w:end w:w="120" w:type="dxa"/>
            </w:tcMar>
          </w:tcPr>
          <w:p>
            <w:pPr>
              <w:spacing w:after="0"/>
            </w:pPr>
            <w:r/>
            <w:r>
              <w:rPr>
                <w:rFonts w:ascii="Calibri" w:hAnsi="Calibri"/>
                <w:b w:val="0"/>
                <w:sz w:val="19"/>
              </w:rPr>
              <w:t>Produced under Governance Authority. This does not mean the GRM-001 Governance Evaluation capability.</w:t>
            </w:r>
          </w:p>
        </w:tc>
      </w:tr>
      <w:tr>
        <w:tc>
          <w:tcPr>
            <w:tcW w:type="dxa" w:w="3240"/>
            <w:vAlign w:val="center"/>
            <w:tcMar>
              <w:top w:w="90" w:type="dxa"/>
              <w:start w:w="120" w:type="dxa"/>
              <w:bottom w:w="90" w:type="dxa"/>
              <w:end w:w="120" w:type="dxa"/>
            </w:tcMar>
            <w:shd w:fill="F8FAFC"/>
          </w:tcPr>
          <w:p>
            <w:pPr>
              <w:spacing w:after="0"/>
            </w:pPr>
            <w:r/>
            <w:r>
              <w:rPr>
                <w:rFonts w:ascii="Calibri" w:hAnsi="Calibri"/>
                <w:b w:val="0"/>
                <w:sz w:val="19"/>
              </w:rPr>
              <w:t>KRM-001: “Governance produces this evidence”</w:t>
            </w:r>
          </w:p>
        </w:tc>
        <w:tc>
          <w:tcPr>
            <w:tcW w:type="dxa" w:w="6120"/>
            <w:vAlign w:val="center"/>
            <w:tcMar>
              <w:top w:w="90" w:type="dxa"/>
              <w:start w:w="120" w:type="dxa"/>
              <w:bottom w:w="90" w:type="dxa"/>
              <w:end w:w="120" w:type="dxa"/>
            </w:tcMar>
            <w:shd w:fill="F8FAFC"/>
          </w:tcPr>
          <w:p>
            <w:pPr>
              <w:spacing w:after="0"/>
            </w:pPr>
            <w:r/>
            <w:r>
              <w:rPr>
                <w:rFonts w:ascii="Calibri" w:hAnsi="Calibri"/>
                <w:b w:val="0"/>
                <w:sz w:val="19"/>
              </w:rPr>
              <w:t>Governance Authority produces Acceptance Evidence. Knowledge evaluates it; GRM-001 does not produce it.</w:t>
            </w:r>
          </w:p>
        </w:tc>
      </w:tr>
      <w:tr>
        <w:tc>
          <w:tcPr>
            <w:tcW w:type="dxa" w:w="3240"/>
            <w:vAlign w:val="center"/>
            <w:tcMar>
              <w:top w:w="90" w:type="dxa"/>
              <w:start w:w="120" w:type="dxa"/>
              <w:bottom w:w="90" w:type="dxa"/>
              <w:end w:w="120" w:type="dxa"/>
            </w:tcMar>
          </w:tcPr>
          <w:p>
            <w:pPr>
              <w:spacing w:after="0"/>
            </w:pPr>
            <w:r/>
            <w:r>
              <w:rPr>
                <w:rFonts w:ascii="Calibri" w:hAnsi="Calibri"/>
                <w:b w:val="0"/>
                <w:sz w:val="19"/>
              </w:rPr>
              <w:t>EAH-001: “Governance institutionalizes cognition”</w:t>
            </w:r>
          </w:p>
        </w:tc>
        <w:tc>
          <w:tcPr>
            <w:tcW w:type="dxa" w:w="6120"/>
            <w:vAlign w:val="center"/>
            <w:tcMar>
              <w:top w:w="90" w:type="dxa"/>
              <w:start w:w="120" w:type="dxa"/>
              <w:bottom w:w="90" w:type="dxa"/>
              <w:end w:w="120" w:type="dxa"/>
            </w:tcMar>
          </w:tcPr>
          <w:p>
            <w:pPr>
              <w:spacing w:after="0"/>
            </w:pPr>
            <w:r/>
            <w:r>
              <w:rPr>
                <w:rFonts w:ascii="Calibri" w:hAnsi="Calibri"/>
                <w:b w:val="0"/>
                <w:sz w:val="19"/>
              </w:rPr>
              <w:t>The enterprise governance authority function grants institutional acceptance. Knowledge establishes Institutional Knowledge after evaluating the resulting Acceptance Evidence. GRM-001 separately evaluates trust and compliance.</w:t>
            </w:r>
          </w:p>
        </w:tc>
      </w:tr>
      <w:tr>
        <w:tc>
          <w:tcPr>
            <w:tcW w:type="dxa" w:w="3240"/>
            <w:vAlign w:val="center"/>
            <w:tcMar>
              <w:top w:w="90" w:type="dxa"/>
              <w:start w:w="120" w:type="dxa"/>
              <w:bottom w:w="90" w:type="dxa"/>
              <w:end w:w="120" w:type="dxa"/>
            </w:tcMar>
            <w:shd w:fill="F8FAFC"/>
          </w:tcPr>
          <w:p>
            <w:pPr>
              <w:spacing w:after="0"/>
            </w:pPr>
            <w:r/>
            <w:r>
              <w:rPr>
                <w:rFonts w:ascii="Calibri" w:hAnsi="Calibri"/>
                <w:b w:val="0"/>
                <w:sz w:val="19"/>
              </w:rPr>
              <w:t>GRM-001 Governance capability</w:t>
            </w:r>
          </w:p>
        </w:tc>
        <w:tc>
          <w:tcPr>
            <w:tcW w:type="dxa" w:w="6120"/>
            <w:vAlign w:val="center"/>
            <w:tcMar>
              <w:top w:w="90" w:type="dxa"/>
              <w:start w:w="120" w:type="dxa"/>
              <w:bottom w:w="90" w:type="dxa"/>
              <w:end w:w="120" w:type="dxa"/>
            </w:tcMar>
            <w:shd w:fill="F8FAFC"/>
          </w:tcPr>
          <w:p>
            <w:pPr>
              <w:spacing w:after="0"/>
            </w:pPr>
            <w:r/>
            <w:r>
              <w:rPr>
                <w:rFonts w:ascii="Calibri" w:hAnsi="Calibri"/>
                <w:b w:val="0"/>
                <w:sz w:val="19"/>
              </w:rPr>
              <w:t>Means Governance Evaluation only. It evaluates records and establishes attestations; it does not supply Acceptance Evidence to KRM-001.</w:t>
            </w:r>
          </w:p>
        </w:tc>
      </w:tr>
      <w:tr>
        <w:tc>
          <w:tcPr>
            <w:tcW w:type="dxa" w:w="3240"/>
            <w:vAlign w:val="center"/>
            <w:tcMar>
              <w:top w:w="90" w:type="dxa"/>
              <w:start w:w="120" w:type="dxa"/>
              <w:bottom w:w="90" w:type="dxa"/>
              <w:end w:w="120" w:type="dxa"/>
            </w:tcMar>
          </w:tcPr>
          <w:p>
            <w:pPr>
              <w:spacing w:after="0"/>
            </w:pPr>
            <w:r/>
            <w:r>
              <w:rPr>
                <w:rFonts w:ascii="Calibri" w:hAnsi="Calibri"/>
                <w:b w:val="0"/>
                <w:sz w:val="19"/>
              </w:rPr>
              <w:t>GEM-001 authorized governance authority</w:t>
            </w:r>
          </w:p>
        </w:tc>
        <w:tc>
          <w:tcPr>
            <w:tcW w:type="dxa" w:w="6120"/>
            <w:vAlign w:val="center"/>
            <w:tcMar>
              <w:top w:w="90" w:type="dxa"/>
              <w:start w:w="120" w:type="dxa"/>
              <w:bottom w:w="90" w:type="dxa"/>
              <w:end w:w="120" w:type="dxa"/>
            </w:tcMar>
          </w:tcPr>
          <w:p>
            <w:pPr>
              <w:spacing w:after="0"/>
            </w:pPr>
            <w:r/>
            <w:r>
              <w:rPr>
                <w:rFonts w:ascii="Calibri" w:hAnsi="Calibri"/>
                <w:b w:val="0"/>
                <w:sz w:val="19"/>
              </w:rPr>
              <w:t>Already means Governance Authority and remains consistent with RFC-013.</w:t>
            </w:r>
          </w:p>
        </w:tc>
      </w:tr>
    </w:tbl>
    <w:p>
      <w:pPr>
        <w:spacing w:after="20"/>
      </w:pPr>
    </w:p>
    <w:p>
      <w:pPr>
        <w:pStyle w:val="Heading1"/>
      </w:pPr>
      <w:r>
        <w:t>9. Capability Boundary Consequences</w:t>
      </w:r>
    </w:p>
    <w:p>
      <w:pPr>
        <w:pStyle w:val="ListBullet"/>
      </w:pPr>
      <w:r>
        <w:t>AEM-001 remains the sole authority for Acceptance Evidence business attributes and validation.</w:t>
      </w:r>
    </w:p>
    <w:p>
      <w:pPr>
        <w:pStyle w:val="ListBullet"/>
      </w:pPr>
      <w:r>
        <w:t>KRM-001 remains the sole authority for Knowledge Evaluation and Institutional Knowledge semantics.</w:t>
      </w:r>
    </w:p>
    <w:p>
      <w:pPr>
        <w:pStyle w:val="ListBullet"/>
      </w:pPr>
      <w:r>
        <w:t>DRM-001 remains the sole authority for Decision Evaluation and Enterprise Decision semantics.</w:t>
      </w:r>
    </w:p>
    <w:p>
      <w:pPr>
        <w:pStyle w:val="ListBullet"/>
      </w:pPr>
      <w:r>
        <w:t>GEM-001 remains the sole authority for Exception Authorization semantics.</w:t>
      </w:r>
    </w:p>
    <w:p>
      <w:pPr>
        <w:pStyle w:val="ListBullet"/>
      </w:pPr>
      <w:r>
        <w:t>GRM-001 remains the sole authority for Governance Evaluation, Governance Attestation, and Enterprise Trust semantics.</w:t>
      </w:r>
    </w:p>
    <w:p>
      <w:pPr>
        <w:pStyle w:val="ListBullet"/>
      </w:pPr>
      <w:r>
        <w:t>CAM-001 remains the authority for projection from immutable records to business outcomes.</w:t>
      </w:r>
    </w:p>
    <w:p>
      <w:pPr>
        <w:pStyle w:val="ListBullet"/>
      </w:pPr>
      <w:r>
        <w:t>A future implementation CDD must not combine Governance Authority and Governance Evaluation merely for implementation convenience.</w:t>
      </w:r>
    </w:p>
    <w:p>
      <w:pPr>
        <w:pStyle w:val="Heading1"/>
      </w:pPr>
      <w:r>
        <w:t>10. Non-Goals</w:t>
      </w:r>
    </w:p>
    <w:p>
      <w:pPr>
        <w:pStyle w:val="ListBullet"/>
      </w:pPr>
      <w:r>
        <w:t>Create a Governance Authority entity, actor, service, table, API, DTO, or user role.</w:t>
      </w:r>
    </w:p>
    <w:p>
      <w:pPr>
        <w:pStyle w:val="ListBullet"/>
      </w:pPr>
      <w:r>
        <w:t>Define who is organizationally authorized to approve a specific policy.</w:t>
      </w:r>
    </w:p>
    <w:p>
      <w:pPr>
        <w:pStyle w:val="ListBullet"/>
      </w:pPr>
      <w:r>
        <w:t>Change Acceptance Evidence or Exception Authorization attributes.</w:t>
      </w:r>
    </w:p>
    <w:p>
      <w:pPr>
        <w:pStyle w:val="ListBullet"/>
      </w:pPr>
      <w:r>
        <w:t>Change Knowledge, Decision, Governance, or projection outcome rules.</w:t>
      </w:r>
    </w:p>
    <w:p>
      <w:pPr>
        <w:pStyle w:val="ListBullet"/>
      </w:pPr>
      <w:r>
        <w:t>Define policy authoring, workflow, identity, access control, or operational execution.</w:t>
      </w:r>
    </w:p>
    <w:p>
      <w:pPr>
        <w:pStyle w:val="ListBullet"/>
      </w:pPr>
      <w:r>
        <w:t>Modify RFC-010, RFC-011, the CEO, Logical Model, Physical Model, or EAD-001.</w:t>
      </w:r>
    </w:p>
    <w:p>
      <w:pPr>
        <w:pStyle w:val="Heading1"/>
      </w:pPr>
      <w:r>
        <w:t>11. Traceability</w:t>
      </w:r>
    </w:p>
    <w:tbl>
      <w:tblPr>
        <w:tblStyle w:val="TableGrid"/>
        <w:tblW w:type="auto" w:w="0"/>
        <w:tblLayout w:type="fixed"/>
        <w:tblLook w:firstColumn="1" w:firstRow="1" w:lastColumn="0" w:lastRow="0" w:noHBand="0" w:noVBand="1" w:val="04A0"/>
      </w:tblPr>
      <w:tblGrid>
        <w:gridCol w:w="2232"/>
        <w:gridCol w:w="7128"/>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Authority</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Contribution</w:t>
            </w:r>
          </w:p>
        </w:tc>
      </w:tr>
      <w:tr>
        <w:tc>
          <w:tcPr>
            <w:tcW w:type="dxa" w:w="2232"/>
            <w:vAlign w:val="center"/>
            <w:tcMar>
              <w:top w:w="90" w:type="dxa"/>
              <w:start w:w="120" w:type="dxa"/>
              <w:bottom w:w="90" w:type="dxa"/>
              <w:end w:w="120" w:type="dxa"/>
            </w:tcMar>
          </w:tcPr>
          <w:p>
            <w:pPr>
              <w:spacing w:after="0"/>
            </w:pPr>
            <w:r/>
            <w:r>
              <w:rPr>
                <w:rFonts w:ascii="Calibri" w:hAnsi="Calibri"/>
                <w:b w:val="0"/>
                <w:sz w:val="19"/>
              </w:rPr>
              <w:t>EAH-001</w:t>
            </w:r>
          </w:p>
        </w:tc>
        <w:tc>
          <w:tcPr>
            <w:tcW w:type="dxa" w:w="7128"/>
            <w:vAlign w:val="center"/>
            <w:tcMar>
              <w:top w:w="90" w:type="dxa"/>
              <w:start w:w="120" w:type="dxa"/>
              <w:bottom w:w="90" w:type="dxa"/>
              <w:end w:w="120" w:type="dxa"/>
            </w:tcMar>
          </w:tcPr>
          <w:p>
            <w:pPr>
              <w:spacing w:after="0"/>
            </w:pPr>
            <w:r/>
            <w:r>
              <w:rPr>
                <w:rFonts w:ascii="Calibri" w:hAnsi="Calibri"/>
                <w:b w:val="0"/>
                <w:sz w:val="19"/>
              </w:rPr>
              <w:t>Architecture hierarchy and enterprise governance principle.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RFC-010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CEO boundary and cognitive capability separation.</w:t>
            </w:r>
          </w:p>
        </w:tc>
      </w:tr>
      <w:tr>
        <w:tc>
          <w:tcPr>
            <w:tcW w:type="dxa" w:w="2232"/>
            <w:vAlign w:val="center"/>
            <w:tcMar>
              <w:top w:w="90" w:type="dxa"/>
              <w:start w:w="120" w:type="dxa"/>
              <w:bottom w:w="90" w:type="dxa"/>
              <w:end w:w="120" w:type="dxa"/>
            </w:tcMar>
          </w:tcPr>
          <w:p>
            <w:pPr>
              <w:spacing w:after="0"/>
            </w:pPr>
            <w:r/>
            <w:r>
              <w:rPr>
                <w:rFonts w:ascii="Calibri" w:hAnsi="Calibri"/>
                <w:b w:val="0"/>
                <w:sz w:val="19"/>
              </w:rPr>
              <w:t>RFC-011</w:t>
            </w:r>
          </w:p>
        </w:tc>
        <w:tc>
          <w:tcPr>
            <w:tcW w:type="dxa" w:w="7128"/>
            <w:vAlign w:val="center"/>
            <w:tcMar>
              <w:top w:w="90" w:type="dxa"/>
              <w:start w:w="120" w:type="dxa"/>
              <w:bottom w:w="90" w:type="dxa"/>
              <w:end w:w="120" w:type="dxa"/>
            </w:tcMar>
          </w:tcPr>
          <w:p>
            <w:pPr>
              <w:spacing w:after="0"/>
            </w:pPr>
            <w:r/>
            <w:r>
              <w:rPr>
                <w:rFonts w:ascii="Calibri" w:hAnsi="Calibri"/>
                <w:b w:val="0"/>
                <w:sz w:val="19"/>
              </w:rPr>
              <w:t>Immutable-record lifecycle and currentness.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RFC-012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Current constitutional authority and supersession of RFC-0001 through RFC-0009.</w:t>
            </w:r>
          </w:p>
        </w:tc>
      </w:tr>
      <w:tr>
        <w:tc>
          <w:tcPr>
            <w:tcW w:type="dxa" w:w="2232"/>
            <w:vAlign w:val="center"/>
            <w:tcMar>
              <w:top w:w="90" w:type="dxa"/>
              <w:start w:w="120" w:type="dxa"/>
              <w:bottom w:w="90" w:type="dxa"/>
              <w:end w:w="120" w:type="dxa"/>
            </w:tcMar>
          </w:tcPr>
          <w:p>
            <w:pPr>
              <w:spacing w:after="0"/>
            </w:pPr>
            <w:r/>
            <w:r>
              <w:rPr>
                <w:rFonts w:ascii="Calibri" w:hAnsi="Calibri"/>
                <w:b w:val="0"/>
                <w:sz w:val="19"/>
              </w:rPr>
              <w:t>CAM-001</w:t>
            </w:r>
          </w:p>
        </w:tc>
        <w:tc>
          <w:tcPr>
            <w:tcW w:type="dxa" w:w="7128"/>
            <w:vAlign w:val="center"/>
            <w:tcMar>
              <w:top w:w="90" w:type="dxa"/>
              <w:start w:w="120" w:type="dxa"/>
              <w:bottom w:w="90" w:type="dxa"/>
              <w:end w:w="120" w:type="dxa"/>
            </w:tcMar>
          </w:tcPr>
          <w:p>
            <w:pPr>
              <w:spacing w:after="0"/>
            </w:pPr>
            <w:r/>
            <w:r>
              <w:rPr>
                <w:rFonts w:ascii="Calibri" w:hAnsi="Calibri"/>
                <w:b w:val="0"/>
                <w:sz w:val="19"/>
              </w:rPr>
              <w:t>Projection from immutable cognitive records to business outcomes.</w:t>
            </w:r>
          </w:p>
        </w:tc>
      </w:tr>
      <w:tr>
        <w:tc>
          <w:tcPr>
            <w:tcW w:type="dxa" w:w="2232"/>
            <w:vAlign w:val="center"/>
            <w:tcMar>
              <w:top w:w="90" w:type="dxa"/>
              <w:start w:w="120" w:type="dxa"/>
              <w:bottom w:w="90" w:type="dxa"/>
              <w:end w:w="120" w:type="dxa"/>
            </w:tcMar>
            <w:shd w:fill="F8FAFC"/>
          </w:tcPr>
          <w:p>
            <w:pPr>
              <w:spacing w:after="0"/>
            </w:pPr>
            <w:r>
              <w:t>AEM-001 v1.1</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Acceptance Evidence contract.</w:t>
            </w:r>
          </w:p>
        </w:tc>
      </w:tr>
      <w:tr>
        <w:tc>
          <w:tcPr>
            <w:tcW w:type="dxa" w:w="2232"/>
            <w:vAlign w:val="center"/>
            <w:tcMar>
              <w:top w:w="90" w:type="dxa"/>
              <w:start w:w="120" w:type="dxa"/>
              <w:bottom w:w="90" w:type="dxa"/>
              <w:end w:w="120" w:type="dxa"/>
            </w:tcMar>
          </w:tcPr>
          <w:p>
            <w:pPr>
              <w:spacing w:after="0"/>
            </w:pPr>
            <w:r>
              <w:t>KRM-001 v1.4</w:t>
            </w:r>
          </w:p>
        </w:tc>
        <w:tc>
          <w:tcPr>
            <w:tcW w:type="dxa" w:w="7128"/>
            <w:vAlign w:val="center"/>
            <w:tcMar>
              <w:top w:w="90" w:type="dxa"/>
              <w:start w:w="120" w:type="dxa"/>
              <w:bottom w:w="90" w:type="dxa"/>
              <w:end w:w="120" w:type="dxa"/>
            </w:tcMar>
          </w:tcPr>
          <w:p>
            <w:pPr>
              <w:spacing w:after="0"/>
            </w:pPr>
            <w:r/>
            <w:r>
              <w:rPr>
                <w:rFonts w:ascii="Calibri" w:hAnsi="Calibri"/>
                <w:b w:val="0"/>
                <w:sz w:val="19"/>
              </w:rPr>
              <w:t>Knowledge evaluates Acceptance Evidence and establishes Institutional Knowledge.</w:t>
            </w:r>
          </w:p>
        </w:tc>
      </w:tr>
      <w:tr>
        <w:tc>
          <w:tcPr>
            <w:tcW w:type="dxa" w:w="2232"/>
            <w:vAlign w:val="center"/>
            <w:tcMar>
              <w:top w:w="90" w:type="dxa"/>
              <w:start w:w="120" w:type="dxa"/>
              <w:bottom w:w="90" w:type="dxa"/>
              <w:end w:w="120" w:type="dxa"/>
            </w:tcMar>
            <w:shd w:fill="F8FAFC"/>
          </w:tcPr>
          <w:p>
            <w:pPr>
              <w:spacing w:after="0"/>
            </w:pPr>
            <w:r>
              <w:t>DRM-001 v1.2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Decision consumes Institutional Knowledge.</w:t>
            </w:r>
          </w:p>
        </w:tc>
      </w:tr>
      <w:tr>
        <w:tc>
          <w:tcPr>
            <w:tcW w:type="dxa" w:w="2232"/>
            <w:vAlign w:val="center"/>
            <w:tcMar>
              <w:top w:w="90" w:type="dxa"/>
              <w:start w:w="120" w:type="dxa"/>
              <w:bottom w:w="90" w:type="dxa"/>
              <w:end w:w="120" w:type="dxa"/>
            </w:tcMar>
          </w:tcPr>
          <w:p>
            <w:pPr>
              <w:spacing w:after="0"/>
            </w:pPr>
            <w:r>
              <w:t>GEM-001 v1.1</w:t>
            </w:r>
          </w:p>
        </w:tc>
        <w:tc>
          <w:tcPr>
            <w:tcW w:type="dxa" w:w="7128"/>
            <w:vAlign w:val="center"/>
            <w:tcMar>
              <w:top w:w="90" w:type="dxa"/>
              <w:start w:w="120" w:type="dxa"/>
              <w:bottom w:w="90" w:type="dxa"/>
              <w:end w:w="120" w:type="dxa"/>
            </w:tcMar>
          </w:tcPr>
          <w:p>
            <w:pPr>
              <w:spacing w:after="0"/>
            </w:pPr>
            <w:r/>
            <w:r>
              <w:rPr>
                <w:rFonts w:ascii="Calibri" w:hAnsi="Calibri"/>
                <w:b w:val="0"/>
                <w:sz w:val="19"/>
              </w:rPr>
              <w:t>Exception Authorization is produced by an authorized governance authority.</w:t>
            </w:r>
          </w:p>
        </w:tc>
      </w:tr>
      <w:tr>
        <w:tc>
          <w:tcPr>
            <w:tcW w:type="dxa" w:w="2232"/>
            <w:vAlign w:val="center"/>
            <w:tcMar>
              <w:top w:w="90" w:type="dxa"/>
              <w:start w:w="120" w:type="dxa"/>
              <w:bottom w:w="90" w:type="dxa"/>
              <w:end w:w="120" w:type="dxa"/>
            </w:tcMar>
            <w:shd w:fill="F8FAFC"/>
          </w:tcPr>
          <w:p>
            <w:pPr>
              <w:spacing w:after="0"/>
            </w:pPr>
            <w:r>
              <w:t>GRM-001 v1.2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Governance Evaluation and Attestation semantics.</w:t>
            </w:r>
          </w:p>
        </w:tc>
      </w:tr>
    </w:tbl>
    <w:p>
      <w:pPr>
        <w:spacing w:after="20"/>
      </w:pPr>
    </w:p>
    <w:p>
      <w:pPr>
        <w:pStyle w:val="Heading1"/>
      </w:pPr>
      <w:r>
        <w:t>12. Architecture Drift Validation</w:t>
      </w:r>
    </w:p>
    <w:p>
      <w:pPr>
        <w:pStyle w:val="ListBullet"/>
      </w:pPr>
      <w:r>
        <w:t>No business entity is introduced or modified.</w:t>
      </w:r>
    </w:p>
    <w:p>
      <w:pPr>
        <w:pStyle w:val="ListBullet"/>
      </w:pPr>
      <w:r>
        <w:t>Governance Authority is an architectural responsibility boundary, not a new artifact or entity.</w:t>
      </w:r>
    </w:p>
    <w:p>
      <w:pPr>
        <w:pStyle w:val="ListBullet"/>
      </w:pPr>
      <w:r>
        <w:t>No attribute or relationship is introduced or modified.</w:t>
      </w:r>
    </w:p>
    <w:p>
      <w:pPr>
        <w:pStyle w:val="ListBullet"/>
      </w:pPr>
      <w:r>
        <w:t>No BCS artifact contract is changed.</w:t>
      </w:r>
    </w:p>
    <w:p>
      <w:pPr>
        <w:pStyle w:val="ListBullet"/>
      </w:pPr>
      <w:r>
        <w:t>No architecture layer is bypassed.</w:t>
      </w:r>
    </w:p>
    <w:p>
      <w:pPr>
        <w:pStyle w:val="ListBullet"/>
      </w:pPr>
      <w:r>
        <w:t>No implementation technology is introduced.</w:t>
      </w:r>
    </w:p>
    <w:p>
      <w:pPr>
        <w:pStyle w:val="ListBullet"/>
      </w:pPr>
      <w:r>
        <w:t>The circular dependency is removed by separating approval authority from evaluation responsibility.</w:t>
      </w:r>
    </w:p>
    <w:p>
      <w:pPr>
        <w:pStyle w:val="Heading1"/>
      </w:pPr>
      <w:r>
        <w:t>13. Decision Summary</w:t>
      </w:r>
    </w:p>
    <w:p>
      <w:pPr>
        <w:keepNext/>
      </w:pPr>
      <w:r>
        <w:rPr>
          <w:b/>
        </w:rPr>
        <w:t>Governance Authority grants approval and produces governed evidence. Knowledge evaluates Acceptance Evidence. Decision consumes Institutional Knowledge. Governance Evaluation evaluates immutable records and establishes attestations.</w:t>
      </w:r>
    </w:p>
    <w:p>
      <w:r>
        <w:t>Governance Attestation and Enterprise Trust never substitute for Acceptance Evidence. The cognitive dependency graph is therefore acyclic.</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6"/>
      </w:rPr>
      <w:t xml:space="preserve">CTEC Architecture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RFC-013  |  GOVERNANCE AUTHORITY AND EVALUATION SEPARATION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RFC-013 — Governance Authority and Evaluation Separation</dc:title>
  <dc:subject>Elimination of the Acceptance Evidence circular dependency</dc:subject>
  <dc:creator>CTEC Architecture</dc:creator>
  <cp:keywords>CTEC, ECOM, Governance Authority, Governance Evaluation, Acceptance Evidence, architecture</cp:keywords>
  <dc:description>Dependency reconciliation clarification: governance boundary is unchanged and traced to current BCS versions.</dc:description>
  <cp:lastModifiedBy/>
  <cp:revision>1</cp:revision>
  <dcterms:created xsi:type="dcterms:W3CDTF">2013-12-23T23:15:00Z</dcterms:created>
  <dcterms:modified xsi:type="dcterms:W3CDTF">2013-12-23T23:15:00Z</dcterms:modified>
  <cp:category/>
  <cp:version>1.1</cp:version>
</cp:coreProperties>
</file>