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ERM-001 — Enterprise Entity Resolution Business Model</w:t>
      </w:r>
    </w:p>
    <w:p>
      <w:pPr>
        <w:jc w:val="center"/>
      </w:pPr>
      <w:r>
        <w:rPr>
          <w:b/>
        </w:rPr>
        <w:t>Version 1.2</w:t>
        <w:br/>
      </w:r>
      <w:r>
        <w:rPr>
          <w:b w:val="0"/>
        </w:rPr>
        <w:t>Status: ARCHITECTURE COMPLETE</w:t>
        <w:br/>
      </w:r>
      <w:r>
        <w:rPr>
          <w:b w:val="0"/>
        </w:rPr>
        <w:t>Document Type: Cognitive Business Model (CBM)</w:t>
        <w:br/>
      </w:r>
      <w:r>
        <w:rPr>
          <w:b w:val="0"/>
        </w:rPr>
        <w:t>Supersedes: ERM-001 v1.1</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Pr>
                <w:b/>
              </w:rPr>
              <w:t>Version</w:t>
            </w:r>
          </w:p>
        </w:tc>
        <w:tc>
          <w:tcPr>
            <w:tcW w:type="dxa" w:w="2160"/>
          </w:tcPr>
          <w:p>
            <w:r>
              <w:rPr>
                <w:b/>
              </w:rPr>
              <w:t>Status</w:t>
            </w:r>
          </w:p>
        </w:tc>
        <w:tc>
          <w:tcPr>
            <w:tcW w:type="dxa" w:w="2160"/>
          </w:tcPr>
          <w:p>
            <w:r>
              <w:rPr>
                <w:b/>
              </w:rPr>
              <w:t>Summary</w:t>
            </w:r>
          </w:p>
        </w:tc>
        <w:tc>
          <w:tcPr>
            <w:tcW w:type="dxa" w:w="2160"/>
          </w:tcPr>
          <w:p>
            <w:r>
              <w:rPr>
                <w:b/>
              </w:rPr>
              <w:t>Authoritative</w:t>
            </w:r>
          </w:p>
        </w:tc>
      </w:tr>
      <w:tr>
        <w:tc>
          <w:tcPr>
            <w:tcW w:type="dxa" w:w="2160"/>
          </w:tcPr>
          <w:p>
            <w:r>
              <w:t>1.2</w:t>
            </w:r>
          </w:p>
        </w:tc>
        <w:tc>
          <w:tcPr>
            <w:tcW w:type="dxa" w:w="2160"/>
          </w:tcPr>
          <w:p>
            <w:r>
              <w:t>Architecture Complete</w:t>
            </w:r>
          </w:p>
        </w:tc>
        <w:tc>
          <w:tcPr>
            <w:tcW w:type="dxa" w:w="2160"/>
          </w:tcPr>
          <w:p>
            <w:r>
              <w:t>Enterprise Entity Resolution Record fully specified; authoritative business attributes, immutability, supersession, effective dating, current-state rules, and provenance completed.</w:t>
            </w:r>
          </w:p>
        </w:tc>
        <w:tc>
          <w:tcPr>
            <w:tcW w:type="dxa" w:w="2160"/>
          </w:tcPr>
          <w:p>
            <w:r>
              <w:t>Yes</w:t>
            </w:r>
          </w:p>
        </w:tc>
      </w:tr>
      <w:tr>
        <w:tc>
          <w:tcPr>
            <w:tcW w:type="dxa" w:w="2160"/>
          </w:tcPr>
          <w:p>
            <w:r>
              <w:t>1.1</w:t>
            </w:r>
          </w:p>
        </w:tc>
        <w:tc>
          <w:tcPr>
            <w:tcW w:type="dxa" w:w="2160"/>
          </w:tcPr>
          <w:p>
            <w:r>
              <w:t>Frozen</w:t>
            </w:r>
          </w:p>
        </w:tc>
        <w:tc>
          <w:tcPr>
            <w:tcW w:type="dxa" w:w="2160"/>
          </w:tcPr>
          <w:p>
            <w:r>
              <w:t>Business artifact model added; cognitive principles expanded; boundary clarified.</w:t>
            </w:r>
          </w:p>
        </w:tc>
        <w:tc>
          <w:tcPr>
            <w:tcW w:type="dxa" w:w="2160"/>
          </w:tcPr>
          <w:p>
            <w:r>
              <w:t>Superseded</w:t>
            </w:r>
          </w:p>
        </w:tc>
      </w:tr>
    </w:tbl>
    <w:p>
      <w:pPr>
        <w:pStyle w:val="Heading1"/>
      </w:pPr>
      <w:r>
        <w:t>1. Purpose</w:t>
      </w:r>
    </w:p>
    <w:p>
      <w:r>
        <w:t>Enterprise Entity Resolution (EER) establishes the enterprise's current understanding of which existing Enterprise Entity is referenced by operational information represented by Source Objects. It is the first cognitive capability built on top of the Canonical Enterprise Ontology (CEO).</w:t>
      </w:r>
    </w:p>
    <w:p>
      <w:pPr>
        <w:pStyle w:val="Heading1"/>
      </w:pPr>
      <w:r>
        <w:t>2. Positioning</w:t>
      </w:r>
    </w:p>
    <w:p>
      <w:r>
        <w:t>Enterprise Entity Resolution is NOT Identity and Access Management (IAM).</w:t>
      </w:r>
    </w:p>
    <w:p>
      <w:r>
        <w:t>Enterprise Entity Resolution is NOT Master Data Management (MDM) record matching.</w:t>
      </w:r>
    </w:p>
    <w:p>
      <w:r>
        <w:t>Enterprise Entity Resolution establishes the enterprise's current understanding of real-world enterprise objects while preserving provenance and explainability.</w:t>
      </w:r>
    </w:p>
    <w:p>
      <w:pPr>
        <w:pStyle w:val="Heading1"/>
      </w:pPr>
      <w:r>
        <w:t>3. Scope</w:t>
      </w:r>
    </w:p>
    <w:p>
      <w:pPr>
        <w:pStyle w:val="Heading2"/>
      </w:pPr>
      <w:r>
        <w:t>Owns</w:t>
      </w:r>
    </w:p>
    <w:p>
      <w:r>
        <w:t>• Candidate Discovery</w:t>
      </w:r>
    </w:p>
    <w:p>
      <w:r>
        <w:t>• Candidate Evaluation</w:t>
      </w:r>
    </w:p>
    <w:p>
      <w:r>
        <w:t>• Enterprise Entity Resolution</w:t>
      </w:r>
    </w:p>
    <w:p>
      <w:r>
        <w:t>• Resolution Explanation</w:t>
      </w:r>
    </w:p>
    <w:p>
      <w:r>
        <w:t>• Enterprise Entity Resolution Record</w:t>
      </w:r>
    </w:p>
    <w:p>
      <w:pPr>
        <w:pStyle w:val="Heading2"/>
      </w:pPr>
      <w:r>
        <w:t>Does NOT Own</w:t>
      </w:r>
    </w:p>
    <w:p>
      <w:r>
        <w:t>• Enterprise Entity creation</w:t>
      </w:r>
    </w:p>
    <w:p>
      <w:r>
        <w:t>• Enterprise Entity modification</w:t>
      </w:r>
    </w:p>
    <w:p>
      <w:r>
        <w:t>• Semantic Resolution</w:t>
      </w:r>
    </w:p>
    <w:p>
      <w:r>
        <w:t>• Assertions</w:t>
      </w:r>
    </w:p>
    <w:p>
      <w:r>
        <w:t>• Knowledge</w:t>
      </w:r>
    </w:p>
    <w:p>
      <w:r>
        <w:t>• Decision</w:t>
      </w:r>
    </w:p>
    <w:p>
      <w:r>
        <w:t>• Governance</w:t>
      </w:r>
    </w:p>
    <w:p>
      <w:r>
        <w:t>• Authentication / Authorization</w:t>
      </w:r>
    </w:p>
    <w:p>
      <w:pPr>
        <w:pStyle w:val="Heading1"/>
      </w:pPr>
      <w:r>
        <w:t>4. Cognitive Principles</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Principle</w:t>
            </w:r>
          </w:p>
        </w:tc>
        <w:tc>
          <w:tcPr>
            <w:tcW w:type="dxa" w:w="4320"/>
          </w:tcPr>
          <w:p>
            <w:r>
              <w:rPr>
                <w:b/>
              </w:rPr>
              <w:t>Statement</w:t>
            </w:r>
          </w:p>
        </w:tc>
      </w:tr>
      <w:tr>
        <w:tc>
          <w:tcPr>
            <w:tcW w:type="dxa" w:w="4320"/>
          </w:tcPr>
          <w:p>
            <w:r>
              <w:t>CP-001</w:t>
            </w:r>
          </w:p>
        </w:tc>
        <w:tc>
          <w:tcPr>
            <w:tcW w:type="dxa" w:w="4320"/>
          </w:tcPr>
          <w:p>
            <w:r>
              <w:t>Enterprise understanding evolves, but history is never lost.</w:t>
            </w:r>
          </w:p>
        </w:tc>
      </w:tr>
      <w:tr>
        <w:tc>
          <w:tcPr>
            <w:tcW w:type="dxa" w:w="4320"/>
          </w:tcPr>
          <w:p>
            <w:r>
              <w:t>CP-002</w:t>
            </w:r>
          </w:p>
        </w:tc>
        <w:tc>
          <w:tcPr>
            <w:tcW w:type="dxa" w:w="4320"/>
          </w:tcPr>
          <w:p>
            <w:r>
              <w:t>Resolution records the enterprise's best understanding at a point in time; it does not redefine reality.</w:t>
            </w:r>
          </w:p>
        </w:tc>
      </w:tr>
      <w:tr>
        <w:tc>
          <w:tcPr>
            <w:tcW w:type="dxa" w:w="4320"/>
          </w:tcPr>
          <w:p>
            <w:r>
              <w:t>CP-003</w:t>
            </w:r>
          </w:p>
        </w:tc>
        <w:tc>
          <w:tcPr>
            <w:tcW w:type="dxa" w:w="4320"/>
          </w:tcPr>
          <w:p>
            <w:r>
              <w:t>Every cognitive capability produces an immutable business artifact.</w:t>
            </w:r>
          </w:p>
        </w:tc>
      </w:tr>
      <w:tr>
        <w:tc>
          <w:tcPr>
            <w:tcW w:type="dxa" w:w="4320"/>
          </w:tcPr>
          <w:p>
            <w:r>
              <w:t>CP-004</w:t>
            </w:r>
          </w:p>
        </w:tc>
        <w:tc>
          <w:tcPr>
            <w:tcW w:type="dxa" w:w="4320"/>
          </w:tcPr>
          <w:p>
            <w:r>
              <w:t>Enterprise Entity Resolution never destroys provenance.</w:t>
            </w:r>
          </w:p>
        </w:tc>
      </w:tr>
      <w:tr>
        <w:tc>
          <w:tcPr>
            <w:tcW w:type="dxa" w:w="4320"/>
          </w:tcPr>
          <w:p>
            <w:r>
              <w:t>CP-005</w:t>
            </w:r>
          </w:p>
        </w:tc>
        <w:tc>
          <w:tcPr>
            <w:tcW w:type="dxa" w:w="4320"/>
          </w:tcPr>
          <w:p>
            <w:r>
              <w:t>Enterprise Entity Resolution never creates or modifies Enterprise Entities.</w:t>
            </w:r>
          </w:p>
        </w:tc>
      </w:tr>
      <w:tr>
        <w:tc>
          <w:tcPr>
            <w:tcW w:type="dxa" w:w="4320"/>
          </w:tcPr>
          <w:p>
            <w:r>
              <w:t>CP-006</w:t>
            </w:r>
          </w:p>
        </w:tc>
        <w:tc>
          <w:tcPr>
            <w:tcW w:type="dxa" w:w="4320"/>
          </w:tcPr>
          <w:p>
            <w:r>
              <w:t>Business artifacts are immutable and become part of the enterprise's explainable cognitive history.</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Concept</w:t>
            </w:r>
          </w:p>
        </w:tc>
        <w:tc>
          <w:tcPr>
            <w:tcW w:type="dxa" w:w="4320"/>
          </w:tcPr>
          <w:p>
            <w:r>
              <w:rPr>
                <w:b/>
              </w:rPr>
              <w:t>Definition</w:t>
            </w:r>
          </w:p>
        </w:tc>
      </w:tr>
      <w:tr>
        <w:tc>
          <w:tcPr>
            <w:tcW w:type="dxa" w:w="4320"/>
          </w:tcPr>
          <w:p>
            <w:r>
              <w:t>Enterprise Entity</w:t>
            </w:r>
          </w:p>
        </w:tc>
        <w:tc>
          <w:tcPr>
            <w:tcW w:type="dxa" w:w="4320"/>
          </w:tcPr>
          <w:p>
            <w:r>
              <w:t>Canonical representation of a real-world thing recognized by the enterprise.</w:t>
            </w:r>
          </w:p>
        </w:tc>
      </w:tr>
      <w:tr>
        <w:tc>
          <w:tcPr>
            <w:tcW w:type="dxa" w:w="4320"/>
          </w:tcPr>
          <w:p>
            <w:r>
              <w:t>Resolution Candidate</w:t>
            </w:r>
          </w:p>
        </w:tc>
        <w:tc>
          <w:tcPr>
            <w:tcW w:type="dxa" w:w="4320"/>
          </w:tcPr>
          <w:p>
            <w:r>
              <w:t>Existing Enterprise Entity considered during evaluation.</w:t>
            </w:r>
          </w:p>
        </w:tc>
      </w:tr>
      <w:tr>
        <w:tc>
          <w:tcPr>
            <w:tcW w:type="dxa" w:w="4320"/>
          </w:tcPr>
          <w:p>
            <w:r>
              <w:t>Resolution Outcome</w:t>
            </w:r>
          </w:p>
        </w:tc>
        <w:tc>
          <w:tcPr>
            <w:tcW w:type="dxa" w:w="4320"/>
          </w:tcPr>
          <w:p>
            <w:r>
              <w:t>Resolved, Possible Resolution, or Unresolved.</w:t>
            </w:r>
          </w:p>
        </w:tc>
      </w:tr>
      <w:tr>
        <w:tc>
          <w:tcPr>
            <w:tcW w:type="dxa" w:w="4320"/>
          </w:tcPr>
          <w:p>
            <w:r>
              <w:t>Resolution Confidence</w:t>
            </w:r>
          </w:p>
        </w:tc>
        <w:tc>
          <w:tcPr>
            <w:tcW w:type="dxa" w:w="4320"/>
          </w:tcPr>
          <w:p>
            <w:r>
              <w:t>Confidence in the enterprise's business decision, not an ML probability.</w:t>
            </w:r>
          </w:p>
        </w:tc>
      </w:tr>
      <w:tr>
        <w:tc>
          <w:tcPr>
            <w:tcW w:type="dxa" w:w="4320"/>
          </w:tcPr>
          <w:p>
            <w:r>
              <w:t>Resolution Explanation</w:t>
            </w:r>
          </w:p>
        </w:tc>
        <w:tc>
          <w:tcPr>
            <w:tcW w:type="dxa" w:w="4320"/>
          </w:tcPr>
          <w:p>
            <w:r>
              <w:t>Human-readable explanation supporting the outcome.</w:t>
            </w:r>
          </w:p>
        </w:tc>
      </w:tr>
      <w:tr>
        <w:tc>
          <w:tcPr>
            <w:tcW w:type="dxa" w:w="4320"/>
          </w:tcPr>
          <w:p>
            <w:r>
              <w:t>Enterprise Entity Resolution Record</w:t>
            </w:r>
          </w:p>
        </w:tc>
        <w:tc>
          <w:tcPr>
            <w:tcW w:type="dxa" w:w="4320"/>
          </w:tcPr>
          <w:p>
            <w:r>
              <w:t>Immutable business artifact produced by this capability.</w:t>
            </w:r>
          </w:p>
        </w:tc>
      </w:tr>
    </w:tbl>
    <w:p>
      <w:pPr>
        <w:pStyle w:val="Heading1"/>
      </w:pPr>
      <w:r>
        <w:t>6. Enterprise Entity Resolution Record</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Property</w:t>
            </w:r>
          </w:p>
        </w:tc>
        <w:tc>
          <w:tcPr>
            <w:tcW w:type="dxa" w:w="4320"/>
          </w:tcPr>
          <w:p>
            <w:r>
              <w:rPr>
                <w:b/>
              </w:rPr>
              <w:t>Authoritative Business Definition</w:t>
            </w:r>
          </w:p>
        </w:tc>
      </w:tr>
      <w:tr>
        <w:trPr>
          <w:cantSplit/>
        </w:trPr>
        <w:tc>
          <w:tcPr>
            <w:tcW w:type="dxa" w:w="4320"/>
            <w:vAlign w:val="center"/>
          </w:tcPr>
          <w:p>
            <w:r>
              <w:t>Purpose</w:t>
            </w:r>
          </w:p>
        </w:tc>
        <w:tc>
          <w:tcPr>
            <w:tcW w:type="dxa" w:w="4320"/>
            <w:vAlign w:val="center"/>
          </w:tcPr>
          <w:p>
            <w:r>
              <w:t>Preserve the enterprise's explainable understanding of which existing Enterprise Entity is represented by the supporting Source Objects at a stated effective time.</w:t>
            </w:r>
          </w:p>
        </w:tc>
      </w:tr>
      <w:tr>
        <w:trPr>
          <w:cantSplit/>
        </w:trPr>
        <w:tc>
          <w:tcPr>
            <w:tcW w:type="dxa" w:w="4320"/>
            <w:vAlign w:val="center"/>
          </w:tcPr>
          <w:p>
            <w:r>
              <w:t>Business Meaning</w:t>
            </w:r>
          </w:p>
        </w:tc>
        <w:tc>
          <w:tcPr>
            <w:tcW w:type="dxa" w:w="4320"/>
            <w:vAlign w:val="center"/>
          </w:tcPr>
          <w:p>
            <w:r>
              <w:t>An immutable statement of enterprise understanding produced by Enterprise Entity Resolution. It records a resolution decision; it does not redefine reality or modify the Canonical Enterprise Ontology.</w:t>
            </w:r>
          </w:p>
        </w:tc>
      </w:tr>
      <w:tr>
        <w:trPr>
          <w:cantSplit/>
        </w:trPr>
        <w:tc>
          <w:tcPr>
            <w:tcW w:type="dxa" w:w="4320"/>
            <w:vAlign w:val="center"/>
          </w:tcPr>
          <w:p>
            <w:r>
              <w:t>Owner</w:t>
            </w:r>
          </w:p>
        </w:tc>
        <w:tc>
          <w:tcPr>
            <w:tcW w:type="dxa" w:w="4320"/>
            <w:vAlign w:val="center"/>
          </w:tcPr>
          <w:p>
            <w:r>
              <w:t>Enterprise Entity Resolution Capability</w:t>
            </w:r>
          </w:p>
        </w:tc>
      </w:tr>
      <w:tr>
        <w:trPr>
          <w:cantSplit/>
        </w:trPr>
        <w:tc>
          <w:tcPr>
            <w:tcW w:type="dxa" w:w="4320"/>
            <w:vAlign w:val="center"/>
          </w:tcPr>
          <w:p>
            <w:r>
              <w:t>Producer</w:t>
            </w:r>
          </w:p>
        </w:tc>
        <w:tc>
          <w:tcPr>
            <w:tcW w:type="dxa" w:w="4320"/>
            <w:vAlign w:val="center"/>
          </w:tcPr>
          <w:p>
            <w:r>
              <w:t>Enterprise Entity Resolution Capability</w:t>
            </w:r>
          </w:p>
        </w:tc>
      </w:tr>
      <w:tr>
        <w:trPr>
          <w:cantSplit/>
        </w:trPr>
        <w:tc>
          <w:tcPr>
            <w:tcW w:type="dxa" w:w="4320"/>
            <w:vAlign w:val="center"/>
          </w:tcPr>
          <w:p>
            <w:r>
              <w:t>Consumer</w:t>
            </w:r>
          </w:p>
        </w:tc>
        <w:tc>
          <w:tcPr>
            <w:tcW w:type="dxa" w:w="4320"/>
            <w:vAlign w:val="center"/>
          </w:tcPr>
          <w:p>
            <w:r>
              <w:t>Semantic Resolution Capability and authorized audit or review activities.</w:t>
            </w:r>
          </w:p>
        </w:tc>
      </w:tr>
      <w:tr>
        <w:trPr>
          <w:cantSplit/>
        </w:trPr>
        <w:tc>
          <w:tcPr>
            <w:tcW w:type="dxa" w:w="4320"/>
            <w:vAlign w:val="center"/>
          </w:tcPr>
          <w:p>
            <w:r>
              <w:t>Lifecycle</w:t>
            </w:r>
          </w:p>
        </w:tc>
        <w:tc>
          <w:tcPr>
            <w:tcW w:type="dxa" w:w="4320"/>
            <w:vAlign w:val="center"/>
          </w:tcPr>
          <w:p>
            <w:r>
              <w:t>Produced once, effective for a period, and retained permanently. It may become historical through supersession but is never updated or deleted.</w:t>
            </w:r>
          </w:p>
        </w:tc>
      </w:tr>
      <w:tr>
        <w:trPr>
          <w:cantSplit/>
        </w:trPr>
        <w:tc>
          <w:tcPr>
            <w:tcW w:type="dxa" w:w="4320"/>
            <w:vAlign w:val="center"/>
          </w:tcPr>
          <w:p>
            <w:r>
              <w:t>Immutability</w:t>
            </w:r>
          </w:p>
        </w:tc>
        <w:tc>
          <w:tcPr>
            <w:tcW w:type="dxa" w:w="4320"/>
            <w:vAlign w:val="center"/>
          </w:tcPr>
          <w:p>
            <w:r>
              <w:t>All issued record content is fixed at production. Corrections and changed understanding are expressed only through a new record.</w:t>
            </w:r>
          </w:p>
        </w:tc>
      </w:tr>
      <w:tr>
        <w:trPr>
          <w:cantSplit/>
        </w:trPr>
        <w:tc>
          <w:tcPr>
            <w:tcW w:type="dxa" w:w="4320"/>
            <w:vAlign w:val="center"/>
          </w:tcPr>
          <w:p>
            <w:r>
              <w:t>Versioning</w:t>
            </w:r>
          </w:p>
        </w:tc>
        <w:tc>
          <w:tcPr>
            <w:tcW w:type="dxa" w:w="4320"/>
            <w:vAlign w:val="center"/>
          </w:tcPr>
          <w:p>
            <w:r>
              <w:t>Records are not edited into later versions. Each changed resolution is a new record with a new Record Identifier; the Resolution Policy Version identifies the policy used for that decision.</w:t>
            </w:r>
          </w:p>
        </w:tc>
      </w:tr>
      <w:tr>
        <w:trPr>
          <w:cantSplit/>
        </w:trPr>
        <w:tc>
          <w:tcPr>
            <w:tcW w:type="dxa" w:w="4320"/>
            <w:vAlign w:val="center"/>
          </w:tcPr>
          <w:p>
            <w:r>
              <w:t>Supersession</w:t>
            </w:r>
          </w:p>
        </w:tc>
        <w:tc>
          <w:tcPr>
            <w:tcW w:type="dxa" w:w="4320"/>
            <w:vAlign w:val="center"/>
          </w:tcPr>
          <w:p>
            <w:r>
              <w:t>A later record may replace the standing of one or more earlier records. The earlier records remain intact and discoverable.</w:t>
            </w:r>
          </w:p>
        </w:tc>
      </w:tr>
      <w:tr>
        <w:trPr>
          <w:cantSplit/>
        </w:trPr>
        <w:tc>
          <w:tcPr>
            <w:tcW w:type="dxa" w:w="4320"/>
            <w:vAlign w:val="center"/>
          </w:tcPr>
          <w:p>
            <w:r>
              <w:t>Effective Dating</w:t>
            </w:r>
          </w:p>
        </w:tc>
        <w:tc>
          <w:tcPr>
            <w:tcW w:type="dxa" w:w="4320"/>
            <w:vAlign w:val="center"/>
          </w:tcPr>
          <w:p>
            <w:r>
              <w:t>Effective From establishes when the recorded understanding begins to apply. Effective To is derived from supersession and does not alter the issued record.</w:t>
            </w:r>
          </w:p>
        </w:tc>
      </w:tr>
      <w:tr>
        <w:trPr>
          <w:cantSplit/>
        </w:trPr>
        <w:tc>
          <w:tcPr>
            <w:tcW w:type="dxa" w:w="4320"/>
            <w:vAlign w:val="center"/>
          </w:tcPr>
          <w:p>
            <w:r>
              <w:t>Traceability</w:t>
            </w:r>
          </w:p>
        </w:tc>
        <w:tc>
          <w:tcPr>
            <w:tcW w:type="dxa" w:w="4320"/>
            <w:vAlign w:val="center"/>
          </w:tcPr>
          <w:p>
            <w:r>
              <w:t>The record permanently identifies the Enterprise Entity when applicable, every supporting Source Object, the decision outcome, confidence, explanation, production time, and governing Resolution Policy Version.</w:t>
            </w:r>
          </w:p>
        </w:tc>
      </w:tr>
    </w:tbl>
    <w:p>
      <w:pPr>
        <w:pStyle w:val="Heading2"/>
      </w:pPr>
      <w:r>
        <w:t>6.1 Authoritative Business Attributes</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Business Attribute</w:t>
            </w:r>
          </w:p>
        </w:tc>
        <w:tc>
          <w:tcPr>
            <w:tcW w:type="dxa" w:w="4320"/>
          </w:tcPr>
          <w:p>
            <w:r>
              <w:rPr>
                <w:b/>
              </w:rPr>
              <w:t>Authoritative Business Definition</w:t>
            </w:r>
          </w:p>
        </w:tc>
      </w:tr>
      <w:tr>
        <w:trPr>
          <w:cantSplit/>
        </w:trPr>
        <w:tc>
          <w:tcPr>
            <w:tcW w:type="dxa" w:w="4320"/>
            <w:vAlign w:val="center"/>
          </w:tcPr>
          <w:p>
            <w:r>
              <w:t>Record Identifier</w:t>
            </w:r>
          </w:p>
        </w:tc>
        <w:tc>
          <w:tcPr>
            <w:tcW w:type="dxa" w:w="4320"/>
            <w:vAlign w:val="center"/>
          </w:tcPr>
          <w:p>
            <w:r>
              <w:t>Permanent unique business identifier of one Enterprise Entity Resolution Record. It never changes and is never reused.</w:t>
            </w:r>
          </w:p>
        </w:tc>
      </w:tr>
      <w:tr>
        <w:trPr>
          <w:cantSplit/>
        </w:trPr>
        <w:tc>
          <w:tcPr>
            <w:tcW w:type="dxa" w:w="4320"/>
            <w:vAlign w:val="center"/>
          </w:tcPr>
          <w:p>
            <w:r>
              <w:t>Enterprise Entity Reference</w:t>
            </w:r>
          </w:p>
        </w:tc>
        <w:tc>
          <w:tcPr>
            <w:tcW w:type="dxa" w:w="4320"/>
            <w:vAlign w:val="center"/>
          </w:tcPr>
          <w:p>
            <w:r>
              <w:t>Reference to the existing Enterprise Entity selected by the resolution. Required for Resolved and Possible Resolution; absent for Unresolved. It never authorizes creation or modification of an Enterprise Entity.</w:t>
            </w:r>
          </w:p>
        </w:tc>
      </w:tr>
      <w:tr>
        <w:trPr>
          <w:cantSplit/>
        </w:trPr>
        <w:tc>
          <w:tcPr>
            <w:tcW w:type="dxa" w:w="4320"/>
            <w:vAlign w:val="center"/>
          </w:tcPr>
          <w:p>
            <w:r>
              <w:t>Supporting Source Object References</w:t>
            </w:r>
          </w:p>
        </w:tc>
        <w:tc>
          <w:tcPr>
            <w:tcW w:type="dxa" w:w="4320"/>
            <w:vAlign w:val="center"/>
          </w:tcPr>
          <w:p>
            <w:r>
              <w:t>Non-empty, unique set of existing Source Objects evaluated together and preserved as the evidence boundary for the resolution decision.</w:t>
            </w:r>
          </w:p>
        </w:tc>
      </w:tr>
      <w:tr>
        <w:trPr>
          <w:cantSplit/>
        </w:trPr>
        <w:tc>
          <w:tcPr>
            <w:tcW w:type="dxa" w:w="4320"/>
            <w:vAlign w:val="center"/>
          </w:tcPr>
          <w:p>
            <w:r>
              <w:t>Resolution Outcome</w:t>
            </w:r>
          </w:p>
        </w:tc>
        <w:tc>
          <w:tcPr>
            <w:tcW w:type="dxa" w:w="4320"/>
            <w:vAlign w:val="center"/>
          </w:tcPr>
          <w:p>
            <w:r>
              <w:t>One and only one authoritative outcome: Resolved, Possible Resolution, or Unresolved.</w:t>
            </w:r>
          </w:p>
        </w:tc>
      </w:tr>
      <w:tr>
        <w:trPr>
          <w:cantSplit/>
        </w:trPr>
        <w:tc>
          <w:tcPr>
            <w:tcW w:type="dxa" w:w="4320"/>
            <w:vAlign w:val="center"/>
          </w:tcPr>
          <w:p>
            <w:r>
              <w:t>Resolution Confidence</w:t>
            </w:r>
          </w:p>
        </w:tc>
        <w:tc>
          <w:tcPr>
            <w:tcW w:type="dxa" w:w="4320"/>
            <w:vAlign w:val="center"/>
          </w:tcPr>
          <w:p>
            <w:r>
              <w:t>Business confidence in the resolution decision on an inclusive 0-to-100 scale. It expresses institutional confidence, not a machine-learning probability. Interpretation and outcome thresholds are governed by the referenced Resolution Policy Version.</w:t>
            </w:r>
          </w:p>
        </w:tc>
      </w:tr>
      <w:tr>
        <w:trPr>
          <w:cantSplit/>
        </w:trPr>
        <w:tc>
          <w:tcPr>
            <w:tcW w:type="dxa" w:w="4320"/>
            <w:vAlign w:val="center"/>
          </w:tcPr>
          <w:p>
            <w:r>
              <w:t>Resolution Explanation</w:t>
            </w:r>
          </w:p>
        </w:tc>
        <w:tc>
          <w:tcPr>
            <w:tcW w:type="dxa" w:w="4320"/>
            <w:vAlign w:val="center"/>
          </w:tcPr>
          <w:p>
            <w:r>
              <w:t>Non-empty human-readable account of the evidence considered and why the recorded outcome and confidence were reached. It must distinguish matched, conflicting, and missing evidence without assigning semantic meaning.</w:t>
            </w:r>
          </w:p>
        </w:tc>
      </w:tr>
      <w:tr>
        <w:trPr>
          <w:cantSplit/>
        </w:trPr>
        <w:tc>
          <w:tcPr>
            <w:tcW w:type="dxa" w:w="4320"/>
            <w:vAlign w:val="center"/>
          </w:tcPr>
          <w:p>
            <w:r>
              <w:t>Produced Timestamp</w:t>
            </w:r>
          </w:p>
        </w:tc>
        <w:tc>
          <w:tcPr>
            <w:tcW w:type="dxa" w:w="4320"/>
            <w:vAlign w:val="center"/>
          </w:tcPr>
          <w:p>
            <w:r>
              <w:t>Unambiguous point in time when the capability issued the record. It is fixed permanently and orders the enterprise's resolution history when effective times are equal.</w:t>
            </w:r>
          </w:p>
        </w:tc>
      </w:tr>
      <w:tr>
        <w:trPr>
          <w:cantSplit/>
        </w:trPr>
        <w:tc>
          <w:tcPr>
            <w:tcW w:type="dxa" w:w="4320"/>
            <w:vAlign w:val="center"/>
          </w:tcPr>
          <w:p>
            <w:r>
              <w:t>Effective From</w:t>
            </w:r>
          </w:p>
        </w:tc>
        <w:tc>
          <w:tcPr>
            <w:tcW w:type="dxa" w:w="4320"/>
            <w:vAlign w:val="center"/>
          </w:tcPr>
          <w:p>
            <w:r>
              <w:t>Point in time from which the record's resolution understanding applies. It cannot precede the Produced Timestamp.</w:t>
            </w:r>
          </w:p>
        </w:tc>
      </w:tr>
      <w:tr>
        <w:trPr>
          <w:cantSplit/>
        </w:trPr>
        <w:tc>
          <w:tcPr>
            <w:tcW w:type="dxa" w:w="4320"/>
            <w:vAlign w:val="center"/>
          </w:tcPr>
          <w:p>
            <w:r>
              <w:t>Effective To</w:t>
            </w:r>
          </w:p>
        </w:tc>
        <w:tc>
          <w:tcPr>
            <w:tcW w:type="dxa" w:w="4320"/>
            <w:vAlign w:val="center"/>
          </w:tcPr>
          <w:p>
            <w:r>
              <w:t>Derived end of the record's effective period: the earliest Effective From of an effective successor record. It is absent while no effective successor exists.</w:t>
            </w:r>
          </w:p>
        </w:tc>
      </w:tr>
      <w:tr>
        <w:trPr>
          <w:cantSplit/>
        </w:trPr>
        <w:tc>
          <w:tcPr>
            <w:tcW w:type="dxa" w:w="4320"/>
            <w:vAlign w:val="center"/>
          </w:tcPr>
          <w:p>
            <w:r>
              <w:t>Superseded By</w:t>
            </w:r>
          </w:p>
        </w:tc>
        <w:tc>
          <w:tcPr>
            <w:tcW w:type="dxa" w:w="4320"/>
            <w:vAlign w:val="center"/>
          </w:tcPr>
          <w:p>
            <w:r>
              <w:t>Derived reference set containing every later effective Resolution Record that explicitly supersedes this record. It is empty while the record has not been superseded.</w:t>
            </w:r>
          </w:p>
        </w:tc>
      </w:tr>
      <w:tr>
        <w:trPr>
          <w:cantSplit/>
        </w:trPr>
        <w:tc>
          <w:tcPr>
            <w:tcW w:type="dxa" w:w="4320"/>
            <w:vAlign w:val="center"/>
          </w:tcPr>
          <w:p>
            <w:r>
              <w:t>Resolution Policy Version</w:t>
            </w:r>
          </w:p>
        </w:tc>
        <w:tc>
          <w:tcPr>
            <w:tcW w:type="dxa" w:w="4320"/>
            <w:vAlign w:val="center"/>
          </w:tcPr>
          <w:p>
            <w:r>
              <w:t>Immutable identifier of the approved resolution policy and configuration used to produce the decision, enabling the outcome to be reproduced and explained.</w:t>
            </w:r>
          </w:p>
        </w:tc>
      </w:tr>
      <w:tr>
        <w:trPr>
          <w:cantSplit/>
        </w:trPr>
        <w:tc>
          <w:tcPr>
            <w:tcW w:type="dxa" w:w="4320"/>
            <w:vAlign w:val="center"/>
          </w:tcPr>
          <w:p>
            <w:r>
              <w:t>Active Indicator</w:t>
            </w:r>
          </w:p>
        </w:tc>
        <w:tc>
          <w:tcPr>
            <w:tcW w:type="dxa" w:w="4320"/>
            <w:vAlign w:val="center"/>
          </w:tcPr>
          <w:p>
            <w:r>
              <w:t>Derived indicator that is true when the record is effective at the time of evaluation and has no effective successor; otherwise false. It is never maintained by changing the issued record.</w:t>
            </w:r>
          </w:p>
        </w:tc>
      </w:tr>
    </w:tbl>
    <w:p>
      <w:pPr>
        <w:pStyle w:val="Heading2"/>
      </w:pPr>
      <w:r>
        <w:t>6.2 Outcome Rules</w:t>
      </w:r>
    </w:p>
    <w:p>
      <w:pPr>
        <w:ind w:left="0" w:firstLine="0"/>
        <w:jc w:val="left"/>
      </w:pPr>
      <w:r>
        <w:t>Resolved requires exactly one Enterprise Entity Reference and confidence that satisfies the Resolved rule of the Resolution Policy Version.</w:t>
      </w:r>
    </w:p>
    <w:p>
      <w:pPr>
        <w:ind w:left="0" w:firstLine="0"/>
        <w:jc w:val="left"/>
      </w:pPr>
      <w:r>
        <w:t>Possible Resolution requires exactly one proposed Enterprise Entity Reference and confidence that satisfies the Possible Resolution rule of the Resolution Policy Version. It does not establish a confirmed association.</w:t>
      </w:r>
    </w:p>
    <w:p>
      <w:pPr>
        <w:ind w:left="0" w:firstLine="0"/>
        <w:jc w:val="left"/>
      </w:pPr>
      <w:r>
        <w:t>Unresolved requires no Enterprise Entity Reference. It records that the enterprise cannot currently associate the supporting Source Objects with an existing Enterprise Entity.</w:t>
      </w:r>
    </w:p>
    <w:p>
      <w:pPr>
        <w:ind w:left="0" w:firstLine="0"/>
        <w:jc w:val="left"/>
      </w:pPr>
      <w:r>
        <w:t>Every outcome requires at least one Supporting Source Object Reference, a Resolution Confidence, a Resolution Explanation, and a Resolution Policy Version.</w:t>
      </w:r>
    </w:p>
    <w:p>
      <w:pPr>
        <w:pStyle w:val="Heading2"/>
      </w:pPr>
      <w:r>
        <w:t>6.3 Immutability and Lifecycle Rules</w:t>
      </w:r>
    </w:p>
    <w:p>
      <w:pPr>
        <w:ind w:left="0" w:firstLine="0"/>
        <w:jc w:val="left"/>
      </w:pPr>
      <w:r>
        <w:t>A record becomes immutable when it is produced and assigned its Record Identifier and Produced Timestamp. No business attribute of that issued record may subsequently be changed.</w:t>
      </w:r>
    </w:p>
    <w:p>
      <w:pPr>
        <w:ind w:left="0" w:firstLine="0"/>
        <w:jc w:val="left"/>
      </w:pPr>
      <w:r>
        <w:t>A new record is created whenever the outcome, Enterprise Entity Reference, supporting Source Object set, confidence, explanation, effective understanding, or policy version must differ from the current record.</w:t>
      </w:r>
    </w:p>
    <w:p>
      <w:pPr>
        <w:ind w:left="0" w:firstLine="0"/>
        <w:jc w:val="left"/>
      </w:pPr>
      <w:r>
        <w:t>A previous record becomes historical when an effective successor explicitly supersedes it. Historical records remain permanently available and retain their original content and provenance.</w:t>
      </w:r>
    </w:p>
    <w:p>
      <w:pPr>
        <w:ind w:left="0" w:firstLine="0"/>
        <w:jc w:val="left"/>
      </w:pPr>
      <w:r>
        <w:t>Records are never archived by deletion. Historical status is derived from the supersession chain and effective dates.</w:t>
      </w:r>
    </w:p>
    <w:p>
      <w:pPr>
        <w:pStyle w:val="Heading2"/>
      </w:pPr>
      <w:r>
        <w:t>6.4 Versioning, Supersession, and Effective Dating</w:t>
      </w:r>
    </w:p>
    <w:p>
      <w:pPr>
        <w:ind w:left="0" w:firstLine="0"/>
        <w:jc w:val="left"/>
      </w:pPr>
      <w:r>
        <w:t>Business evolution is represented as a chain or directed lineage of immutable records, not by updating a record version in place.</w:t>
      </w:r>
    </w:p>
    <w:p>
      <w:pPr>
        <w:ind w:left="0" w:firstLine="0"/>
        <w:jc w:val="left"/>
      </w:pPr>
      <w:r>
        <w:t>A successor record must identify every earlier record whose standing it replaces. One successor may consolidate earlier records, and multiple successors may replace different portions of an earlier resolution scope. Superseded By is the inverse, derived view of those successor declarations.</w:t>
      </w:r>
    </w:p>
    <w:p>
      <w:pPr>
        <w:ind w:left="0" w:firstLine="0"/>
        <w:jc w:val="left"/>
      </w:pPr>
      <w:r>
        <w:t>A successor's Effective From must not precede its Produced Timestamp. Production of the successor and declaration of the supersession relationship form one business action; the derived Superseded By view does not mutate the earlier record.</w:t>
      </w:r>
    </w:p>
    <w:p>
      <w:pPr>
        <w:pStyle w:val="Heading2"/>
      </w:pPr>
      <w:r>
        <w:t>6.5 Current Resolution</w:t>
      </w:r>
    </w:p>
    <w:p>
      <w:pPr>
        <w:ind w:left="0" w:firstLine="0"/>
        <w:jc w:val="left"/>
      </w:pPr>
      <w:r>
        <w:t>For a Source Object and an evaluation time, the Current Resolution is the active record containing that Source Object whose Effective From is latest. The record must be effective at that time and must not have an effective successor that replaces its standing for that Source Object.</w:t>
      </w:r>
    </w:p>
    <w:p>
      <w:pPr>
        <w:ind w:left="0" w:firstLine="0"/>
        <w:jc w:val="left"/>
      </w:pPr>
      <w:r>
        <w:t>At most one Current Resolution may exist for a Source Object at an evaluation time. If competing records would both qualify, the supersession and precedence rules determine the single current record; unresolved competition is a resolution error and must not be silently selected.</w:t>
      </w:r>
    </w:p>
    <w:p>
      <w:pPr>
        <w:ind w:left="0" w:firstLine="0"/>
        <w:jc w:val="left"/>
      </w:pPr>
      <w:r>
        <w:t>Current Resolution may itself have the outcome Resolved, Possible Resolution, or Unresolved. Current identifies standing, not certainty.</w:t>
      </w:r>
    </w:p>
    <w:p>
      <w:pPr>
        <w:pStyle w:val="Heading2"/>
      </w:pPr>
      <w:r>
        <w:t>6.6 Provenance</w:t>
      </w:r>
    </w:p>
    <w:p>
      <w:pPr>
        <w:ind w:left="0" w:firstLine="0"/>
        <w:jc w:val="left"/>
      </w:pPr>
      <w:r>
        <w:t>Provenance is represented by the immutable combination of Supporting Source Object References, Enterprise Entity Reference when applicable, Resolution Outcome, Resolution Confidence, Resolution Explanation, Produced Timestamp, Effective From, Resolution Policy Version, and supersession lineage.</w:t>
      </w:r>
    </w:p>
    <w:p>
      <w:pPr>
        <w:ind w:left="0" w:firstLine="0"/>
        <w:jc w:val="left"/>
      </w:pPr>
      <w:r>
        <w:t>Every supporting Source Object reference is retained for the full life of the record. Source Objects are never merged, rewritten, or deleted by Enterprise Entity Resolution.</w:t>
      </w:r>
    </w:p>
    <w:p>
      <w:pPr>
        <w:ind w:left="0" w:firstLine="0"/>
        <w:jc w:val="left"/>
      </w:pPr>
      <w:r>
        <w:t>Historical understanding is preserved by retaining every record and deriving later standing through successor relationships. A later decision never erases or rewrites what the enterprise previously understood.</w:t>
      </w:r>
    </w:p>
    <w:p>
      <w:pPr>
        <w:pStyle w:val="Heading2"/>
      </w:pPr>
      <w:r>
        <w:t>6.7 Architectural Boundary</w:t>
      </w:r>
    </w:p>
    <w:p>
      <w:pPr>
        <w:ind w:left="0" w:firstLine="0"/>
        <w:jc w:val="left"/>
      </w:pPr>
      <w:r>
        <w:t>This specification defines business semantics only. It creates no Canonical Enterprise Ontology entity or attribute and defines no persistence model, database type, API, DTO, algorithm, or implementation structure.</w:t>
      </w:r>
    </w:p>
    <w:p>
      <w:pPr>
        <w:pStyle w:val="Heading1"/>
      </w:pPr>
      <w:r>
        <w:t>7. Inputs</w:t>
      </w:r>
    </w:p>
    <w:p>
      <w:r>
        <w:t>• Source Object</w:t>
      </w:r>
    </w:p>
    <w:p>
      <w:r>
        <w:t>• Enterprise Entity</w:t>
      </w:r>
    </w:p>
    <w:p>
      <w:r>
        <w:t>• Source System</w:t>
      </w:r>
    </w:p>
    <w:p>
      <w:pPr>
        <w:pStyle w:val="Heading1"/>
      </w:pPr>
      <w:r>
        <w:t>8. Outputs</w:t>
      </w:r>
    </w:p>
    <w:p>
      <w:r>
        <w:t>• Enterprise Entity reference</w:t>
      </w:r>
    </w:p>
    <w:p>
      <w:r>
        <w:t>• Resolution Outcome</w:t>
      </w:r>
    </w:p>
    <w:p>
      <w:r>
        <w:t>• Resolution Confidence</w:t>
      </w:r>
    </w:p>
    <w:p>
      <w:r>
        <w:t>• Resolution Explanation</w:t>
      </w:r>
    </w:p>
    <w:p>
      <w:r>
        <w:t>• Enterprise Entity Resolution Record</w:t>
      </w:r>
    </w:p>
    <w:p>
      <w:pPr>
        <w:pStyle w:val="Heading1"/>
      </w:pPr>
      <w:r>
        <w:t>9. Resolution Outcomes</w:t>
      </w:r>
    </w:p>
    <w:p>
      <w:r>
        <w:t>• Resolved</w:t>
      </w:r>
    </w:p>
    <w:p>
      <w:r>
        <w:t>• Possible Resolution</w:t>
      </w:r>
    </w:p>
    <w:p>
      <w:r>
        <w:t>• Unresolved</w:t>
      </w:r>
    </w:p>
    <w:p>
      <w:pPr>
        <w:pStyle w:val="Heading1"/>
      </w:pPr>
      <w:r>
        <w:t>10. Enterprise Entity Evolution</w:t>
      </w:r>
    </w:p>
    <w:p>
      <w:r>
        <w:t>Enterprise Entity Resolution may determine that previously associated Source Objects should reference a different Enterprise Entity. In that case, a new Enterprise Entity may be established by an authorized capability outside EER, and new Resolution Records are produced. Historical Resolution Records remain immutable and available for audit.</w:t>
      </w:r>
    </w:p>
    <w:p>
      <w:pPr>
        <w:pStyle w:val="Heading1"/>
      </w:pPr>
      <w:r>
        <w:t>11. Capability Flow</w:t>
      </w:r>
    </w:p>
    <w:p>
      <w:r>
        <w:t>Operational Information → Source Object → Enterprise Entity Resolution → Enterprise Entity Resolution Record → Semantic Resolution</w:t>
      </w:r>
    </w:p>
    <w:p>
      <w:pPr>
        <w:pStyle w:val="Heading1"/>
      </w:pPr>
      <w:r>
        <w:t>12. MDM Comparison</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Traditional MDM</w:t>
            </w:r>
          </w:p>
        </w:tc>
        <w:tc>
          <w:tcPr>
            <w:tcW w:type="dxa" w:w="4320"/>
          </w:tcPr>
          <w:p>
            <w:r>
              <w:rPr>
                <w:b/>
              </w:rPr>
              <w:t>CTEC</w:t>
            </w:r>
          </w:p>
        </w:tc>
      </w:tr>
      <w:tr>
        <w:tc>
          <w:tcPr>
            <w:tcW w:type="dxa" w:w="4320"/>
          </w:tcPr>
          <w:p>
            <w:r>
              <w:t>Matches records</w:t>
            </w:r>
          </w:p>
        </w:tc>
        <w:tc>
          <w:tcPr>
            <w:tcW w:type="dxa" w:w="4320"/>
          </w:tcPr>
          <w:p>
            <w:r>
              <w:t>Builds enterprise understanding</w:t>
            </w:r>
          </w:p>
        </w:tc>
      </w:tr>
      <w:tr>
        <w:tc>
          <w:tcPr>
            <w:tcW w:type="dxa" w:w="4320"/>
          </w:tcPr>
          <w:p>
            <w:r>
              <w:t>Golden record</w:t>
            </w:r>
          </w:p>
        </w:tc>
        <w:tc>
          <w:tcPr>
            <w:tcW w:type="dxa" w:w="4320"/>
          </w:tcPr>
          <w:p>
            <w:r>
              <w:t>Enterprise Entity + immutable Resolution Record</w:t>
            </w:r>
          </w:p>
        </w:tc>
      </w:tr>
      <w:tr>
        <w:tc>
          <w:tcPr>
            <w:tcW w:type="dxa" w:w="4320"/>
          </w:tcPr>
          <w:p>
            <w:r>
              <w:t>Merges duplicates</w:t>
            </w:r>
          </w:p>
        </w:tc>
        <w:tc>
          <w:tcPr>
            <w:tcW w:type="dxa" w:w="4320"/>
          </w:tcPr>
          <w:p>
            <w:r>
              <w:t>Preserves provenance</w:t>
            </w:r>
          </w:p>
        </w:tc>
      </w:tr>
      <w:tr>
        <w:tc>
          <w:tcPr>
            <w:tcW w:type="dxa" w:w="4320"/>
          </w:tcPr>
          <w:p>
            <w:r>
              <w:t>Updates master record</w:t>
            </w:r>
          </w:p>
        </w:tc>
        <w:tc>
          <w:tcPr>
            <w:tcW w:type="dxa" w:w="4320"/>
          </w:tcPr>
          <w:p>
            <w:r>
              <w:t>Leaves ontology unchanged</w:t>
            </w:r>
          </w:p>
        </w:tc>
      </w:tr>
    </w:tbl>
    <w:p>
      <w:pPr>
        <w:pStyle w:val="Heading1"/>
      </w:pPr>
      <w:r>
        <w:t>13. Artifact Ownership</w:t>
      </w:r>
    </w:p>
    <w:tbl>
      <w:tblPr>
        <w:tblStyle w:val="TableGrid"/>
        <w:tblW w:type="auto" w:w="0"/>
        <w:tblLook w:firstColumn="1" w:firstRow="1" w:lastColumn="0" w:lastRow="0" w:noHBand="0" w:noVBand="1" w:val="04A0"/>
      </w:tblPr>
      <w:tblGrid>
        <w:gridCol w:w="4320"/>
        <w:gridCol w:w="4320"/>
      </w:tblGrid>
      <w:tr>
        <w:trPr>
          <w:tblHeader/>
        </w:trPr>
        <w:tc>
          <w:tcPr>
            <w:tcW w:type="dxa" w:w="4320"/>
          </w:tcPr>
          <w:p>
            <w:r>
              <w:rPr>
                <w:b/>
              </w:rPr>
              <w:t>Artifact</w:t>
            </w:r>
          </w:p>
        </w:tc>
        <w:tc>
          <w:tcPr>
            <w:tcW w:type="dxa" w:w="4320"/>
          </w:tcPr>
          <w:p>
            <w:r>
              <w:rPr>
                <w:b/>
              </w:rPr>
              <w:t>Owner</w:t>
            </w:r>
          </w:p>
        </w:tc>
      </w:tr>
      <w:tr>
        <w:tc>
          <w:tcPr>
            <w:tcW w:type="dxa" w:w="4320"/>
          </w:tcPr>
          <w:p>
            <w:r>
              <w:t>Enterprise Entity</w:t>
            </w:r>
          </w:p>
        </w:tc>
        <w:tc>
          <w:tcPr>
            <w:tcW w:type="dxa" w:w="4320"/>
          </w:tcPr>
          <w:p>
            <w:r>
              <w:t>Canonical Enterprise Ontology</w:t>
            </w:r>
          </w:p>
        </w:tc>
      </w:tr>
      <w:tr>
        <w:tc>
          <w:tcPr>
            <w:tcW w:type="dxa" w:w="4320"/>
          </w:tcPr>
          <w:p>
            <w:r>
              <w:t>Enterprise Entity Resolution Record</w:t>
            </w:r>
          </w:p>
        </w:tc>
        <w:tc>
          <w:tcPr>
            <w:tcW w:type="dxa" w:w="4320"/>
          </w:tcPr>
          <w:p>
            <w:r>
              <w:t>Enterprise Entity Resolution Capability</w:t>
            </w:r>
          </w:p>
        </w:tc>
      </w:tr>
      <w:tr>
        <w:tc>
          <w:tcPr>
            <w:tcW w:type="dxa" w:w="4320"/>
          </w:tcPr>
          <w:p>
            <w:r>
              <w:t>Semantic Resolution Record</w:t>
            </w:r>
          </w:p>
        </w:tc>
        <w:tc>
          <w:tcPr>
            <w:tcW w:type="dxa" w:w="4320"/>
          </w:tcPr>
          <w:p>
            <w:r>
              <w:t>Semantic Resolution Capability</w:t>
            </w:r>
          </w:p>
        </w:tc>
      </w:tr>
      <w:tr>
        <w:tc>
          <w:tcPr>
            <w:tcW w:type="dxa" w:w="4320"/>
          </w:tcPr>
          <w:p>
            <w:r>
              <w:t>Assertion Record</w:t>
            </w:r>
          </w:p>
        </w:tc>
        <w:tc>
          <w:tcPr>
            <w:tcW w:type="dxa" w:w="4320"/>
          </w:tcPr>
          <w:p>
            <w:r>
              <w:t>Assertion Capability</w:t>
            </w:r>
          </w:p>
        </w:tc>
      </w:tr>
      <w:tr>
        <w:tc>
          <w:tcPr>
            <w:tcW w:type="dxa" w:w="4320"/>
          </w:tcPr>
          <w:p>
            <w:r>
              <w:t>Knowledge Record</w:t>
            </w:r>
          </w:p>
        </w:tc>
        <w:tc>
          <w:tcPr>
            <w:tcW w:type="dxa" w:w="4320"/>
          </w:tcPr>
          <w:p>
            <w:r>
              <w:t>Knowledge Capability</w:t>
            </w:r>
          </w:p>
        </w:tc>
      </w:tr>
    </w:tbl>
    <w:p>
      <w:pPr>
        <w:pStyle w:val="Heading1"/>
      </w:pPr>
      <w:r>
        <w:t>14. Success Criteria</w:t>
      </w:r>
    </w:p>
    <w:p>
      <w:r>
        <w:t>Operational information can be associated with an existing Enterprise Entity without modifying the Canonical Enterprise Ontology. Every decision is explainable, provenance is preserved, and immutable Resolution Records provide a deterministic current resolution and the complete historical lineage of enterprise understanding.</w:t>
      </w:r>
    </w:p>
    <w:p>
      <w:pPr>
        <w:pStyle w:val="Heading1"/>
      </w:pPr>
      <w:r>
        <w:t>15. Traceability</w:t>
      </w:r>
    </w:p>
    <w:p>
      <w:r>
        <w:t>References: EAH-001, RFC-010, EAD-001, Logical Model, Physical Model, CDS-001, and CDD-003 Revision 2. ERM-001 v1.2 is the business authority for CDD-004.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