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SRM-001 — Semantic Resolution Business Capability Specification</w:t>
      </w:r>
    </w:p>
    <w:p>
      <w:pPr>
        <w:jc w:val="center"/>
      </w:pPr>
      <w:r>
        <w:rPr>
          <w:b/>
        </w:rPr>
        <w:t>Version 2.0</w:t>
        <w:br/>
      </w:r>
      <w:r>
        <w:t>Status: FROZEN</w:t>
        <w:br/>
        <w:t>Authoritative for: CDD-005</w:t>
        <w:br/>
        <w:t>Supersedes: SRM-001 v1.0</w:t>
      </w:r>
    </w:p>
    <w:p>
      <w:pPr>
        <w:pStyle w:val="Heading1"/>
      </w:pPr>
      <w:r>
        <w:t>1. Executive Summary</w:t>
      </w:r>
    </w:p>
    <w:p>
      <w:r>
        <w:t>Semantic Resolution establishes the enterprise's current understanding of what an identified Enterprise Entity means within a governed business context.</w:t>
      </w:r>
    </w:p>
    <w:p>
      <w:pPr>
        <w:pStyle w:val="Heading1"/>
      </w:pPr>
      <w:r>
        <w:t>2. Business Purpose</w:t>
      </w:r>
    </w:p>
    <w:p>
      <w:r>
        <w:t>Enterprise Entity Resolution answers 'Who or What is this?'. Semantic Resolution answers 'What does this mean to the enterprise?'. Semantic meanings are governed by the enterprise.</w:t>
      </w:r>
    </w:p>
    <w:p>
      <w:pPr>
        <w:pStyle w:val="Heading1"/>
      </w:pPr>
      <w:r>
        <w:t>3. Capability Boundary</w:t>
      </w:r>
    </w:p>
    <w:p>
      <w:pPr>
        <w:pStyle w:val="Heading2"/>
      </w:pPr>
      <w:r>
        <w:t>Owns</w:t>
      </w:r>
    </w:p>
    <w:p>
      <w:r>
        <w:t>• Semantic Candidate Discovery</w:t>
      </w:r>
    </w:p>
    <w:p>
      <w:r>
        <w:t>• Semantic Candidate Evaluation</w:t>
      </w:r>
    </w:p>
    <w:p>
      <w:r>
        <w:t>• Semantic Resolution</w:t>
      </w:r>
    </w:p>
    <w:p>
      <w:r>
        <w:t>• Business Confidence Classification</w:t>
      </w:r>
    </w:p>
    <w:p>
      <w:r>
        <w:t>• Semantic Explanation</w:t>
      </w:r>
    </w:p>
    <w:p>
      <w:r>
        <w:t>• Semantic Resolution Record</w:t>
      </w:r>
    </w:p>
    <w:p>
      <w:pPr>
        <w:pStyle w:val="Heading2"/>
      </w:pPr>
      <w:r>
        <w:t>Does Not Own</w:t>
      </w:r>
    </w:p>
    <w:p>
      <w:r>
        <w:t>• Canonical Enterprise Ontology</w:t>
      </w:r>
    </w:p>
    <w:p>
      <w:r>
        <w:t>• Enterprise Entity Resolution</w:t>
      </w:r>
    </w:p>
    <w:p>
      <w:r>
        <w:t>• Assertions</w:t>
      </w:r>
    </w:p>
    <w:p>
      <w:r>
        <w:t>• Knowledge</w:t>
      </w:r>
    </w:p>
    <w:p>
      <w:r>
        <w:t>• Decision</w:t>
      </w:r>
    </w:p>
    <w:p>
      <w:r>
        <w:t>• Governance</w:t>
      </w:r>
    </w:p>
    <w:p>
      <w:r>
        <w:t>• AI reasoning</w:t>
      </w:r>
    </w:p>
    <w:p>
      <w:pPr>
        <w:pStyle w:val="Heading1"/>
      </w:pPr>
      <w:r>
        <w:t>4. Cognitive Principles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Principle</w:t>
            </w:r>
          </w:p>
        </w:tc>
      </w:tr>
      <w:tr>
        <w:tc>
          <w:tcPr>
            <w:tcW w:type="dxa" w:w="4320"/>
          </w:tcPr>
          <w:p>
            <w:r>
              <w:t>CP-SR-001</w:t>
            </w:r>
          </w:p>
        </w:tc>
        <w:tc>
          <w:tcPr>
            <w:tcW w:type="dxa" w:w="4320"/>
          </w:tcPr>
          <w:p>
            <w:r>
              <w:t>Meaning belongs to the enterprise, not the source system.</w:t>
            </w:r>
          </w:p>
        </w:tc>
      </w:tr>
      <w:tr>
        <w:tc>
          <w:tcPr>
            <w:tcW w:type="dxa" w:w="4320"/>
          </w:tcPr>
          <w:p>
            <w:r>
              <w:t>CP-SR-002</w:t>
            </w:r>
          </w:p>
        </w:tc>
        <w:tc>
          <w:tcPr>
            <w:tcW w:type="dxa" w:w="4320"/>
          </w:tcPr>
          <w:p>
            <w:r>
              <w:t>Meaning is contextual and governed.</w:t>
            </w:r>
          </w:p>
        </w:tc>
      </w:tr>
      <w:tr>
        <w:tc>
          <w:tcPr>
            <w:tcW w:type="dxa" w:w="4320"/>
          </w:tcPr>
          <w:p>
            <w:r>
              <w:t>CP-SR-003</w:t>
            </w:r>
          </w:p>
        </w:tc>
        <w:tc>
          <w:tcPr>
            <w:tcW w:type="dxa" w:w="4320"/>
          </w:tcPr>
          <w:p>
            <w:r>
              <w:t>Semantic Resolution Records are immutable.</w:t>
            </w:r>
          </w:p>
        </w:tc>
      </w:tr>
      <w:tr>
        <w:tc>
          <w:tcPr>
            <w:tcW w:type="dxa" w:w="4320"/>
          </w:tcPr>
          <w:p>
            <w:r>
              <w:t>CP-SR-004</w:t>
            </w:r>
          </w:p>
        </w:tc>
        <w:tc>
          <w:tcPr>
            <w:tcW w:type="dxa" w:w="4320"/>
          </w:tcPr>
          <w:p>
            <w:r>
              <w:t>Business Confidence reflects enterprise confidence, not algorithmic probability.</w:t>
            </w:r>
          </w:p>
        </w:tc>
      </w:tr>
      <w:tr>
        <w:tc>
          <w:tcPr>
            <w:tcW w:type="dxa" w:w="4320"/>
          </w:tcPr>
          <w:p>
            <w:r>
              <w:t>CP-SR-005</w:t>
            </w:r>
          </w:p>
        </w:tc>
        <w:tc>
          <w:tcPr>
            <w:tcW w:type="dxa" w:w="4320"/>
          </w:tcPr>
          <w:p>
            <w:r>
              <w:t>Human override creates a new immutable record.</w:t>
            </w:r>
          </w:p>
        </w:tc>
      </w:tr>
      <w:tr>
        <w:tc>
          <w:tcPr>
            <w:tcW w:type="dxa" w:w="4320"/>
          </w:tcPr>
          <w:p>
            <w:r>
              <w:t>CP-SR-006</w:t>
            </w:r>
          </w:p>
        </w:tc>
        <w:tc>
          <w:tcPr>
            <w:tcW w:type="dxa" w:w="4320"/>
          </w:tcPr>
          <w:p>
            <w:r>
              <w:t>Every interpretation is explainable and traceable.</w:t>
            </w:r>
          </w:p>
        </w:tc>
      </w:tr>
    </w:tbl>
    <w:p>
      <w:pPr>
        <w:pStyle w:val="Heading1"/>
      </w:pPr>
      <w:r>
        <w:t>5. Business Vocabulary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Concept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Semantic Interpretation</w:t>
            </w:r>
          </w:p>
        </w:tc>
        <w:tc>
          <w:tcPr>
            <w:tcW w:type="dxa" w:w="4320"/>
          </w:tcPr>
          <w:p>
            <w:r>
              <w:t>Reference to one Institutional Concept; literal text prohibited.</w:t>
            </w:r>
          </w:p>
        </w:tc>
      </w:tr>
      <w:tr>
        <w:tc>
          <w:tcPr>
            <w:tcW w:type="dxa" w:w="4320"/>
          </w:tcPr>
          <w:p>
            <w:r>
              <w:t>Business Context</w:t>
            </w:r>
          </w:p>
        </w:tc>
        <w:tc>
          <w:tcPr>
            <w:tcW w:type="dxa" w:w="4320"/>
          </w:tcPr>
          <w:p>
            <w:r>
              <w:t>Reference to one governed Context (or Business Domain).</w:t>
            </w:r>
          </w:p>
        </w:tc>
      </w:tr>
      <w:tr>
        <w:tc>
          <w:tcPr>
            <w:tcW w:type="dxa" w:w="4320"/>
          </w:tcPr>
          <w:p>
            <w:r>
              <w:t>Supporting Evidence</w:t>
            </w:r>
          </w:p>
        </w:tc>
        <w:tc>
          <w:tcPr>
            <w:tcW w:type="dxa" w:w="4320"/>
          </w:tcPr>
          <w:p>
            <w:r>
              <w:t>Minimum one Enterprise Entity Resolution Record and one Source Object.</w:t>
            </w:r>
          </w:p>
        </w:tc>
      </w:tr>
      <w:tr>
        <w:tc>
          <w:tcPr>
            <w:tcW w:type="dxa" w:w="4320"/>
          </w:tcPr>
          <w:p>
            <w:r>
              <w:t>Semantic Resolution Record</w:t>
            </w:r>
          </w:p>
        </w:tc>
        <w:tc>
          <w:tcPr>
            <w:tcW w:type="dxa" w:w="4320"/>
          </w:tcPr>
          <w:p>
            <w:r>
              <w:t>Immutable business artifact.</w:t>
            </w:r>
          </w:p>
        </w:tc>
      </w:tr>
      <w:tr>
        <w:tc>
          <w:tcPr>
            <w:tcW w:type="dxa" w:w="4320"/>
          </w:tcPr>
          <w:p>
            <w:r>
              <w:t>Business Confidence</w:t>
            </w:r>
          </w:p>
        </w:tc>
        <w:tc>
          <w:tcPr>
            <w:tcW w:type="dxa" w:w="4320"/>
          </w:tcPr>
          <w:p>
            <w:r>
              <w:t>High / Medium / Low.</w:t>
            </w:r>
          </w:p>
        </w:tc>
      </w:tr>
    </w:tbl>
    <w:p>
      <w:pPr>
        <w:pStyle w:val="Heading1"/>
      </w:pPr>
      <w:r>
        <w:t>6. Inputs</w:t>
      </w:r>
    </w:p>
    <w:p>
      <w:r>
        <w:t>• Enterprise Entity</w:t>
      </w:r>
    </w:p>
    <w:p>
      <w:r>
        <w:t>• Enterprise Entity Resolution Record</w:t>
      </w:r>
    </w:p>
    <w:p>
      <w:r>
        <w:t>• Source Object</w:t>
      </w:r>
    </w:p>
    <w:p>
      <w:r>
        <w:t>• Institutional Concept</w:t>
      </w:r>
    </w:p>
    <w:p>
      <w:r>
        <w:t>• Context (or Business Domain)</w:t>
      </w:r>
    </w:p>
    <w:p>
      <w:r>
        <w:t>• Business Policies</w:t>
      </w:r>
    </w:p>
    <w:p>
      <w:pPr>
        <w:pStyle w:val="Heading1"/>
      </w:pPr>
      <w:r>
        <w:t>7. Output</w:t>
      </w:r>
    </w:p>
    <w:p>
      <w:r>
        <w:t>Semantic Resolution Record</w:t>
      </w:r>
    </w:p>
    <w:p>
      <w:pPr>
        <w:pStyle w:val="Heading1"/>
      </w:pPr>
      <w:r>
        <w:t>8. Semantic Resolution Record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Record Identifier</w:t>
            </w:r>
          </w:p>
        </w:tc>
        <w:tc>
          <w:tcPr>
            <w:tcW w:type="dxa" w:w="4320"/>
          </w:tcPr>
          <w:p>
            <w:r>
              <w:t>Unique immutable identifier</w:t>
            </w:r>
          </w:p>
        </w:tc>
      </w:tr>
      <w:tr>
        <w:tc>
          <w:tcPr>
            <w:tcW w:type="dxa" w:w="4320"/>
          </w:tcPr>
          <w:p>
            <w:r>
              <w:t>Enterprise Entity</w:t>
            </w:r>
          </w:p>
        </w:tc>
        <w:tc>
          <w:tcPr>
            <w:tcW w:type="dxa" w:w="4320"/>
          </w:tcPr>
          <w:p>
            <w:r>
              <w:t>Entity being interpreted</w:t>
            </w:r>
          </w:p>
        </w:tc>
      </w:tr>
      <w:tr>
        <w:tc>
          <w:tcPr>
            <w:tcW w:type="dxa" w:w="4320"/>
          </w:tcPr>
          <w:p>
            <w:r>
              <w:t>Semantic Interpretation</w:t>
            </w:r>
          </w:p>
        </w:tc>
        <w:tc>
          <w:tcPr>
            <w:tcW w:type="dxa" w:w="4320"/>
          </w:tcPr>
          <w:p>
            <w:r>
              <w:t>Exactly one Institutional Concept when Resolved</w:t>
            </w:r>
          </w:p>
        </w:tc>
      </w:tr>
      <w:tr>
        <w:tc>
          <w:tcPr>
            <w:tcW w:type="dxa" w:w="4320"/>
          </w:tcPr>
          <w:p>
            <w:r>
              <w:t>Business Context</w:t>
            </w:r>
          </w:p>
        </w:tc>
        <w:tc>
          <w:tcPr>
            <w:tcW w:type="dxa" w:w="4320"/>
          </w:tcPr>
          <w:p>
            <w:r>
              <w:t>Exactly one governed Context</w:t>
            </w:r>
          </w:p>
        </w:tc>
      </w:tr>
      <w:tr>
        <w:tc>
          <w:tcPr>
            <w:tcW w:type="dxa" w:w="4320"/>
          </w:tcPr>
          <w:p>
            <w:r>
              <w:t>Supporting Evidence</w:t>
            </w:r>
          </w:p>
        </w:tc>
        <w:tc>
          <w:tcPr>
            <w:tcW w:type="dxa" w:w="4320"/>
          </w:tcPr>
          <w:p>
            <w:r>
              <w:t>At least one EERR and one Source Object</w:t>
            </w:r>
          </w:p>
        </w:tc>
      </w:tr>
      <w:tr>
        <w:tc>
          <w:tcPr>
            <w:tcW w:type="dxa" w:w="4320"/>
          </w:tcPr>
          <w:p>
            <w:r>
              <w:t>Resolution Outcome</w:t>
            </w:r>
          </w:p>
        </w:tc>
        <w:tc>
          <w:tcPr>
            <w:tcW w:type="dxa" w:w="4320"/>
          </w:tcPr>
          <w:p>
            <w:r>
              <w:t>Resolved / Possible Resolution / Unresolved</w:t>
            </w:r>
          </w:p>
        </w:tc>
      </w:tr>
      <w:tr>
        <w:tc>
          <w:tcPr>
            <w:tcW w:type="dxa" w:w="4320"/>
          </w:tcPr>
          <w:p>
            <w:r>
              <w:t>Business Confidence</w:t>
            </w:r>
          </w:p>
        </w:tc>
        <w:tc>
          <w:tcPr>
            <w:tcW w:type="dxa" w:w="4320"/>
          </w:tcPr>
          <w:p>
            <w:r>
              <w:t>High / Medium / Low</w:t>
            </w:r>
          </w:p>
        </w:tc>
      </w:tr>
      <w:tr>
        <w:tc>
          <w:tcPr>
            <w:tcW w:type="dxa" w:w="4320"/>
          </w:tcPr>
          <w:p>
            <w:r>
              <w:t>Semantic Explanation</w:t>
            </w:r>
          </w:p>
        </w:tc>
        <w:tc>
          <w:tcPr>
            <w:tcW w:type="dxa" w:w="4320"/>
          </w:tcPr>
          <w:p>
            <w:r>
              <w:t>Structured reasons and narrative</w:t>
            </w:r>
          </w:p>
        </w:tc>
      </w:tr>
      <w:tr>
        <w:tc>
          <w:tcPr>
            <w:tcW w:type="dxa" w:w="4320"/>
          </w:tcPr>
          <w:p>
            <w:r>
              <w:t>Policy Version</w:t>
            </w:r>
          </w:p>
        </w:tc>
        <w:tc>
          <w:tcPr>
            <w:tcW w:type="dxa" w:w="4320"/>
          </w:tcPr>
          <w:p>
            <w:r>
              <w:t>Business policy version</w:t>
            </w:r>
          </w:p>
        </w:tc>
      </w:tr>
      <w:tr>
        <w:tc>
          <w:tcPr>
            <w:tcW w:type="dxa" w:w="4320"/>
          </w:tcPr>
          <w:p>
            <w:r>
              <w:t>Produced Timestamp</w:t>
            </w:r>
          </w:p>
        </w:tc>
        <w:tc>
          <w:tcPr>
            <w:tcW w:type="dxa" w:w="4320"/>
          </w:tcPr>
          <w:p>
            <w:r>
              <w:t>Creation timestamp</w:t>
            </w:r>
          </w:p>
        </w:tc>
      </w:tr>
      <w:tr>
        <w:tc>
          <w:tcPr>
            <w:tcW w:type="dxa" w:w="4320"/>
          </w:tcPr>
          <w:p>
            <w:r>
              <w:t>Record Status</w:t>
            </w:r>
          </w:p>
        </w:tc>
        <w:tc>
          <w:tcPr>
            <w:tcW w:type="dxa" w:w="4320"/>
          </w:tcPr>
          <w:p>
            <w:r>
              <w:t>Assigned at creation only; immutable</w:t>
            </w:r>
          </w:p>
        </w:tc>
      </w:tr>
    </w:tbl>
    <w:p>
      <w:pPr>
        <w:pStyle w:val="Heading1"/>
      </w:pPr>
      <w:r>
        <w:t>9. Resolution Rules</w:t>
      </w:r>
    </w:p>
    <w:p>
      <w:r>
        <w:t>Resolved: exactly one Institutional Concept.</w:t>
      </w:r>
    </w:p>
    <w:p>
      <w:r>
        <w:t>Possible Resolution: one or more candidate Institutional Concepts.</w:t>
      </w:r>
    </w:p>
    <w:p>
      <w:r>
        <w:t>Unresolved: no Semantic Interpretation.</w:t>
      </w:r>
    </w:p>
    <w:p>
      <w:r>
        <w:t>Business Confidence is valid for all outcomes.</w:t>
      </w:r>
    </w:p>
    <w:p>
      <w:pPr>
        <w:pStyle w:val="Heading1"/>
      </w:pPr>
      <w:r>
        <w:t>10. Current Interpretation</w:t>
      </w:r>
    </w:p>
    <w:p>
      <w:r>
        <w:t>Only one active Semantic Resolution Record exists for a given Enterprise Entity and Business Context. New understanding creates a new immutable record. History is maintained outside immutable records.</w:t>
      </w:r>
    </w:p>
    <w:p>
      <w:pPr>
        <w:pStyle w:val="Heading1"/>
      </w:pPr>
      <w:r>
        <w:t>11. Human Override</w:t>
      </w:r>
    </w:p>
    <w:p>
      <w:r>
        <w:t>Overrides create new Semantic Resolution Records; existing records are never modified.</w:t>
      </w:r>
    </w:p>
    <w:p>
      <w:pPr>
        <w:pStyle w:val="Heading1"/>
      </w:pPr>
      <w:r>
        <w:t>12. Business Examples</w:t>
      </w:r>
    </w:p>
    <w:p>
      <w:r>
        <w:t>Material → Critical Component (Institutional Concept) → Manufacturing (Context)</w:t>
      </w:r>
    </w:p>
    <w:p>
      <w:r>
        <w:t>Supplier → Strategic Supplier → Supply Chain</w:t>
      </w:r>
    </w:p>
    <w:p>
      <w:r>
        <w:t>Supplier → High Risk Supplier → Enterprise Risk</w:t>
      </w:r>
    </w:p>
    <w:p>
      <w:pPr>
        <w:pStyle w:val="Heading1"/>
      </w:pPr>
      <w:r>
        <w:t>13. Success Criteria</w:t>
      </w:r>
    </w:p>
    <w:p>
      <w:r>
        <w:t>Meanings are represented by governed Institutional Concepts, contextual, explainable, evidence-based and historically preserved.</w:t>
      </w:r>
    </w:p>
    <w:p>
      <w:pPr>
        <w:pStyle w:val="Heading1"/>
      </w:pPr>
      <w:r>
        <w:t>14. Traceability</w:t>
      </w:r>
    </w:p>
    <w:p>
      <w:r>
        <w:t>• EAH-001</w:t>
      </w:r>
    </w:p>
    <w:p>
      <w:r>
        <w:t>• RFC-010</w:t>
      </w:r>
    </w:p>
    <w:p>
      <w:r>
        <w:t>• CDD-003 Rev2</w:t>
      </w:r>
    </w:p>
    <w:p>
      <w:r>
        <w:t>• ERM-001 v2.1</w:t>
      </w:r>
    </w:p>
    <w:p>
      <w:r>
        <w:t>• SRM-001 v2.0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