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ERM-001 — Enterprise Entity Resolution Business Model</w:t>
      </w:r>
    </w:p>
    <w:p>
      <w:pPr>
        <w:jc w:val="center"/>
      </w:pPr>
      <w:r>
        <w:rPr>
          <w:b/>
        </w:rPr>
        <w:t>Version 1.1</w:t>
        <w:br/>
      </w:r>
      <w:r>
        <w:t>Status: FROZEN</w:t>
        <w:br/>
      </w:r>
      <w:r>
        <w:t>Document Type: Cognitive Business Model (CBM)</w:t>
        <w:br/>
      </w:r>
      <w:r>
        <w:t>Supersedes: ERM-001 v1.0</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Status</w:t>
            </w:r>
          </w:p>
        </w:tc>
        <w:tc>
          <w:tcPr>
            <w:tcW w:type="dxa" w:w="2160"/>
          </w:tcPr>
          <w:p>
            <w:r>
              <w:t>Summary</w:t>
            </w:r>
          </w:p>
        </w:tc>
        <w:tc>
          <w:tcPr>
            <w:tcW w:type="dxa" w:w="2160"/>
          </w:tcPr>
          <w:p>
            <w:r>
              <w:t>Authoritative</w:t>
            </w:r>
          </w:p>
        </w:tc>
      </w:tr>
      <w:tr>
        <w:tc>
          <w:tcPr>
            <w:tcW w:type="dxa" w:w="2160"/>
          </w:tcPr>
          <w:p>
            <w:r>
              <w:t>1.1</w:t>
            </w:r>
          </w:p>
        </w:tc>
        <w:tc>
          <w:tcPr>
            <w:tcW w:type="dxa" w:w="2160"/>
          </w:tcPr>
          <w:p>
            <w:r>
              <w:t>Frozen</w:t>
            </w:r>
          </w:p>
        </w:tc>
        <w:tc>
          <w:tcPr>
            <w:tcW w:type="dxa" w:w="2160"/>
          </w:tcPr>
          <w:p>
            <w:r>
              <w:t>Business artifact model added; cognitive principles expanded; boundary clarified.</w:t>
            </w:r>
          </w:p>
        </w:tc>
        <w:tc>
          <w:tcPr>
            <w:tcW w:type="dxa" w:w="2160"/>
          </w:tcPr>
          <w:p>
            <w:r>
              <w:t>Yes</w:t>
            </w:r>
          </w:p>
        </w:tc>
      </w:tr>
    </w:tbl>
    <w:p>
      <w:pPr>
        <w:pStyle w:val="Heading1"/>
      </w:pPr>
      <w:r>
        <w:t>1. Purpose</w:t>
      </w:r>
    </w:p>
    <w:p>
      <w:r>
        <w:t>Enterprise Entity Resolution (EER) establishes the enterprise's current understanding of which existing Enterprise Entity is referenced by operational information represented by Source Objects. It is the first cognitive capability built on top of the Canonical Enterprise Ontology (CEO).</w:t>
      </w:r>
    </w:p>
    <w:p>
      <w:pPr>
        <w:pStyle w:val="Heading1"/>
      </w:pPr>
      <w:r>
        <w:t>2. Positioning</w:t>
      </w:r>
    </w:p>
    <w:p>
      <w:r>
        <w:t>Enterprise Entity Resolution is NOT Identity and Access Management (IAM).</w:t>
      </w:r>
    </w:p>
    <w:p>
      <w:r>
        <w:t>Enterprise Entity Resolution is NOT Master Data Management (MDM) record matching.</w:t>
      </w:r>
    </w:p>
    <w:p>
      <w:r>
        <w:t>Enterprise Entity Resolution establishes the enterprise's current understanding of real-world enterprise objects while preserving provenance and explainability.</w:t>
      </w:r>
    </w:p>
    <w:p>
      <w:pPr>
        <w:pStyle w:val="Heading1"/>
      </w:pPr>
      <w:r>
        <w:t>3. Scope</w:t>
      </w:r>
    </w:p>
    <w:p>
      <w:pPr>
        <w:pStyle w:val="Heading2"/>
      </w:pPr>
      <w:r>
        <w:t>Owns</w:t>
      </w:r>
    </w:p>
    <w:p>
      <w:r>
        <w:t>• Candidate Discovery</w:t>
      </w:r>
    </w:p>
    <w:p>
      <w:r>
        <w:t>• Candidate Evaluation</w:t>
      </w:r>
    </w:p>
    <w:p>
      <w:r>
        <w:t>• Enterprise Entity Resolution</w:t>
      </w:r>
    </w:p>
    <w:p>
      <w:r>
        <w:t>• Resolution Explanation</w:t>
      </w:r>
    </w:p>
    <w:p>
      <w:r>
        <w:t>• Enterprise Entity Resolution Record</w:t>
      </w:r>
    </w:p>
    <w:p>
      <w:pPr>
        <w:pStyle w:val="Heading2"/>
      </w:pPr>
      <w:r>
        <w:t>Does NOT Own</w:t>
      </w:r>
    </w:p>
    <w:p>
      <w:r>
        <w:t>• Enterprise Entity creation</w:t>
      </w:r>
    </w:p>
    <w:p>
      <w:r>
        <w:t>• Enterprise Entity modification</w:t>
      </w:r>
    </w:p>
    <w:p>
      <w:r>
        <w:t>• Semantic Resolution</w:t>
      </w:r>
    </w:p>
    <w:p>
      <w:r>
        <w:t>• Assertions</w:t>
      </w:r>
    </w:p>
    <w:p>
      <w:r>
        <w:t>• Knowledge</w:t>
      </w:r>
    </w:p>
    <w:p>
      <w:r>
        <w:t>• Decision</w:t>
      </w:r>
    </w:p>
    <w:p>
      <w:r>
        <w:t>• Governance</w:t>
      </w:r>
    </w:p>
    <w:p>
      <w:r>
        <w:t>• Authentication / Authorization</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Statement</w:t>
            </w:r>
          </w:p>
        </w:tc>
      </w:tr>
      <w:tr>
        <w:tc>
          <w:tcPr>
            <w:tcW w:type="dxa" w:w="4320"/>
          </w:tcPr>
          <w:p>
            <w:r>
              <w:t>CP-001</w:t>
            </w:r>
          </w:p>
        </w:tc>
        <w:tc>
          <w:tcPr>
            <w:tcW w:type="dxa" w:w="4320"/>
          </w:tcPr>
          <w:p>
            <w:r>
              <w:t>Enterprise understanding evolves, but history is never lost.</w:t>
            </w:r>
          </w:p>
        </w:tc>
      </w:tr>
      <w:tr>
        <w:tc>
          <w:tcPr>
            <w:tcW w:type="dxa" w:w="4320"/>
          </w:tcPr>
          <w:p>
            <w:r>
              <w:t>CP-002</w:t>
            </w:r>
          </w:p>
        </w:tc>
        <w:tc>
          <w:tcPr>
            <w:tcW w:type="dxa" w:w="4320"/>
          </w:tcPr>
          <w:p>
            <w:r>
              <w:t>Resolution records the enterprise's best understanding at a point in time; it does not redefine reality.</w:t>
            </w:r>
          </w:p>
        </w:tc>
      </w:tr>
      <w:tr>
        <w:tc>
          <w:tcPr>
            <w:tcW w:type="dxa" w:w="4320"/>
          </w:tcPr>
          <w:p>
            <w:r>
              <w:t>CP-003</w:t>
            </w:r>
          </w:p>
        </w:tc>
        <w:tc>
          <w:tcPr>
            <w:tcW w:type="dxa" w:w="4320"/>
          </w:tcPr>
          <w:p>
            <w:r>
              <w:t>Every cognitive capability produces an immutable business artifact.</w:t>
            </w:r>
          </w:p>
        </w:tc>
      </w:tr>
      <w:tr>
        <w:tc>
          <w:tcPr>
            <w:tcW w:type="dxa" w:w="4320"/>
          </w:tcPr>
          <w:p>
            <w:r>
              <w:t>CP-004</w:t>
            </w:r>
          </w:p>
        </w:tc>
        <w:tc>
          <w:tcPr>
            <w:tcW w:type="dxa" w:w="4320"/>
          </w:tcPr>
          <w:p>
            <w:r>
              <w:t>Enterprise Entity Resolution never destroys provenance.</w:t>
            </w:r>
          </w:p>
        </w:tc>
      </w:tr>
      <w:tr>
        <w:tc>
          <w:tcPr>
            <w:tcW w:type="dxa" w:w="4320"/>
          </w:tcPr>
          <w:p>
            <w:r>
              <w:t>CP-005</w:t>
            </w:r>
          </w:p>
        </w:tc>
        <w:tc>
          <w:tcPr>
            <w:tcW w:type="dxa" w:w="4320"/>
          </w:tcPr>
          <w:p>
            <w:r>
              <w:t>Enterprise Entity Resolution never creates or modifies Enterprise Entities.</w:t>
            </w:r>
          </w:p>
        </w:tc>
      </w:tr>
      <w:tr>
        <w:tc>
          <w:tcPr>
            <w:tcW w:type="dxa" w:w="4320"/>
          </w:tcPr>
          <w:p>
            <w:r>
              <w:t>CP-006</w:t>
            </w:r>
          </w:p>
        </w:tc>
        <w:tc>
          <w:tcPr>
            <w:tcW w:type="dxa" w:w="4320"/>
          </w:tcPr>
          <w:p>
            <w:r>
              <w:t>Business artifacts are immutable and become part of the enterprise's explainable cognitive history.</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Definition</w:t>
            </w:r>
          </w:p>
        </w:tc>
      </w:tr>
      <w:tr>
        <w:tc>
          <w:tcPr>
            <w:tcW w:type="dxa" w:w="4320"/>
          </w:tcPr>
          <w:p>
            <w:r>
              <w:t>Enterprise Entity</w:t>
            </w:r>
          </w:p>
        </w:tc>
        <w:tc>
          <w:tcPr>
            <w:tcW w:type="dxa" w:w="4320"/>
          </w:tcPr>
          <w:p>
            <w:r>
              <w:t>Canonical representation of a real-world thing recognized by the enterprise.</w:t>
            </w:r>
          </w:p>
        </w:tc>
      </w:tr>
      <w:tr>
        <w:tc>
          <w:tcPr>
            <w:tcW w:type="dxa" w:w="4320"/>
          </w:tcPr>
          <w:p>
            <w:r>
              <w:t>Resolution Candidate</w:t>
            </w:r>
          </w:p>
        </w:tc>
        <w:tc>
          <w:tcPr>
            <w:tcW w:type="dxa" w:w="4320"/>
          </w:tcPr>
          <w:p>
            <w:r>
              <w:t>Existing Enterprise Entity considered during evaluation.</w:t>
            </w:r>
          </w:p>
        </w:tc>
      </w:tr>
      <w:tr>
        <w:tc>
          <w:tcPr>
            <w:tcW w:type="dxa" w:w="4320"/>
          </w:tcPr>
          <w:p>
            <w:r>
              <w:t>Resolution Outcome</w:t>
            </w:r>
          </w:p>
        </w:tc>
        <w:tc>
          <w:tcPr>
            <w:tcW w:type="dxa" w:w="4320"/>
          </w:tcPr>
          <w:p>
            <w:r>
              <w:t>Resolved, Possible Resolution, or Unresolved.</w:t>
            </w:r>
          </w:p>
        </w:tc>
      </w:tr>
      <w:tr>
        <w:tc>
          <w:tcPr>
            <w:tcW w:type="dxa" w:w="4320"/>
          </w:tcPr>
          <w:p>
            <w:r>
              <w:t>Resolution Confidence</w:t>
            </w:r>
          </w:p>
        </w:tc>
        <w:tc>
          <w:tcPr>
            <w:tcW w:type="dxa" w:w="4320"/>
          </w:tcPr>
          <w:p>
            <w:r>
              <w:t>Confidence in the enterprise's business decision, not an ML probability.</w:t>
            </w:r>
          </w:p>
        </w:tc>
      </w:tr>
      <w:tr>
        <w:tc>
          <w:tcPr>
            <w:tcW w:type="dxa" w:w="4320"/>
          </w:tcPr>
          <w:p>
            <w:r>
              <w:t>Resolution Explanation</w:t>
            </w:r>
          </w:p>
        </w:tc>
        <w:tc>
          <w:tcPr>
            <w:tcW w:type="dxa" w:w="4320"/>
          </w:tcPr>
          <w:p>
            <w:r>
              <w:t>Human-readable explanation supporting the outcome.</w:t>
            </w:r>
          </w:p>
        </w:tc>
      </w:tr>
      <w:tr>
        <w:tc>
          <w:tcPr>
            <w:tcW w:type="dxa" w:w="4320"/>
          </w:tcPr>
          <w:p>
            <w:r>
              <w:t>Enterprise Entity Resolution Record</w:t>
            </w:r>
          </w:p>
        </w:tc>
        <w:tc>
          <w:tcPr>
            <w:tcW w:type="dxa" w:w="4320"/>
          </w:tcPr>
          <w:p>
            <w:r>
              <w:t>Immutable business artifact produced by this capability.</w:t>
            </w:r>
          </w:p>
        </w:tc>
      </w:tr>
    </w:tbl>
    <w:p>
      <w:pPr>
        <w:pStyle w:val="Heading1"/>
      </w:pPr>
      <w:r>
        <w:t>6. Business Artifact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Definition</w:t>
            </w:r>
          </w:p>
        </w:tc>
      </w:tr>
      <w:tr>
        <w:tc>
          <w:tcPr>
            <w:tcW w:type="dxa" w:w="4320"/>
          </w:tcPr>
          <w:p>
            <w:r>
              <w:t>Artifact</w:t>
            </w:r>
          </w:p>
        </w:tc>
        <w:tc>
          <w:tcPr>
            <w:tcW w:type="dxa" w:w="4320"/>
          </w:tcPr>
          <w:p>
            <w:r>
              <w:t>Enterprise Entity Resolution Record</w:t>
            </w:r>
          </w:p>
        </w:tc>
      </w:tr>
      <w:tr>
        <w:tc>
          <w:tcPr>
            <w:tcW w:type="dxa" w:w="4320"/>
          </w:tcPr>
          <w:p>
            <w:r>
              <w:t>Type</w:t>
            </w:r>
          </w:p>
        </w:tc>
        <w:tc>
          <w:tcPr>
            <w:tcW w:type="dxa" w:w="4320"/>
          </w:tcPr>
          <w:p>
            <w:r>
              <w:t>Immutable Business Artifact</w:t>
            </w:r>
          </w:p>
        </w:tc>
      </w:tr>
      <w:tr>
        <w:tc>
          <w:tcPr>
            <w:tcW w:type="dxa" w:w="4320"/>
          </w:tcPr>
          <w:p>
            <w:r>
              <w:t>Produced By</w:t>
            </w:r>
          </w:p>
        </w:tc>
        <w:tc>
          <w:tcPr>
            <w:tcW w:type="dxa" w:w="4320"/>
          </w:tcPr>
          <w:p>
            <w:r>
              <w:t>Enterprise Entity Resolution Capability</w:t>
            </w:r>
          </w:p>
        </w:tc>
      </w:tr>
      <w:tr>
        <w:tc>
          <w:tcPr>
            <w:tcW w:type="dxa" w:w="4320"/>
          </w:tcPr>
          <w:p>
            <w:r>
              <w:t>Consumed By</w:t>
            </w:r>
          </w:p>
        </w:tc>
        <w:tc>
          <w:tcPr>
            <w:tcW w:type="dxa" w:w="4320"/>
          </w:tcPr>
          <w:p>
            <w:r>
              <w:t>Semantic Resolution Capability</w:t>
            </w:r>
          </w:p>
        </w:tc>
      </w:tr>
      <w:tr>
        <w:tc>
          <w:tcPr>
            <w:tcW w:type="dxa" w:w="4320"/>
          </w:tcPr>
          <w:p>
            <w:r>
              <w:t>Purpose</w:t>
            </w:r>
          </w:p>
        </w:tc>
        <w:tc>
          <w:tcPr>
            <w:tcW w:type="dxa" w:w="4320"/>
          </w:tcPr>
          <w:p>
            <w:r>
              <w:t>Preserve the enterprise's understanding at the time of resolution.</w:t>
            </w:r>
          </w:p>
        </w:tc>
      </w:tr>
      <w:tr>
        <w:tc>
          <w:tcPr>
            <w:tcW w:type="dxa" w:w="4320"/>
          </w:tcPr>
          <w:p>
            <w:r>
              <w:t>Lifecycle</w:t>
            </w:r>
          </w:p>
        </w:tc>
        <w:tc>
          <w:tcPr>
            <w:tcW w:type="dxa" w:w="4320"/>
          </w:tcPr>
          <w:p>
            <w:r>
              <w:t>Immutable</w:t>
            </w:r>
          </w:p>
        </w:tc>
      </w:tr>
      <w:tr>
        <w:tc>
          <w:tcPr>
            <w:tcW w:type="dxa" w:w="4320"/>
          </w:tcPr>
          <w:p>
            <w:r>
              <w:t>Update Policy</w:t>
            </w:r>
          </w:p>
        </w:tc>
        <w:tc>
          <w:tcPr>
            <w:tcW w:type="dxa" w:w="4320"/>
          </w:tcPr>
          <w:p>
            <w:r>
              <w:t>Never Updated</w:t>
            </w:r>
          </w:p>
        </w:tc>
      </w:tr>
      <w:tr>
        <w:tc>
          <w:tcPr>
            <w:tcW w:type="dxa" w:w="4320"/>
          </w:tcPr>
          <w:p>
            <w:r>
              <w:t>Delete Policy</w:t>
            </w:r>
          </w:p>
        </w:tc>
        <w:tc>
          <w:tcPr>
            <w:tcW w:type="dxa" w:w="4320"/>
          </w:tcPr>
          <w:p>
            <w:r>
              <w:t>Never Deleted</w:t>
            </w:r>
          </w:p>
        </w:tc>
      </w:tr>
      <w:tr>
        <w:tc>
          <w:tcPr>
            <w:tcW w:type="dxa" w:w="4320"/>
          </w:tcPr>
          <w:p>
            <w:r>
              <w:t>Traceability</w:t>
            </w:r>
          </w:p>
        </w:tc>
        <w:tc>
          <w:tcPr>
            <w:tcW w:type="dxa" w:w="4320"/>
          </w:tcPr>
          <w:p>
            <w:r>
              <w:t>Always references the Enterprise Entity and supporting Source Objects.</w:t>
            </w:r>
          </w:p>
        </w:tc>
      </w:tr>
    </w:tbl>
    <w:p>
      <w:pPr>
        <w:pStyle w:val="Heading1"/>
      </w:pPr>
      <w:r>
        <w:t>7. Inputs</w:t>
      </w:r>
    </w:p>
    <w:p>
      <w:r>
        <w:t>• Source Object</w:t>
      </w:r>
    </w:p>
    <w:p>
      <w:r>
        <w:t>• Enterprise Entity</w:t>
      </w:r>
    </w:p>
    <w:p>
      <w:r>
        <w:t>• Source System</w:t>
      </w:r>
    </w:p>
    <w:p>
      <w:pPr>
        <w:pStyle w:val="Heading1"/>
      </w:pPr>
      <w:r>
        <w:t>8. Outputs</w:t>
      </w:r>
    </w:p>
    <w:p>
      <w:r>
        <w:t>• Enterprise Entity reference</w:t>
      </w:r>
    </w:p>
    <w:p>
      <w:r>
        <w:t>• Resolution Outcome</w:t>
      </w:r>
    </w:p>
    <w:p>
      <w:r>
        <w:t>• Resolution Confidence</w:t>
      </w:r>
    </w:p>
    <w:p>
      <w:r>
        <w:t>• Resolution Explanation</w:t>
      </w:r>
    </w:p>
    <w:p>
      <w:r>
        <w:t>• Enterprise Entity Resolution Record</w:t>
      </w:r>
    </w:p>
    <w:p>
      <w:pPr>
        <w:pStyle w:val="Heading1"/>
      </w:pPr>
      <w:r>
        <w:t>9. Resolution Outcomes</w:t>
      </w:r>
    </w:p>
    <w:p>
      <w:r>
        <w:t>• Resolved</w:t>
      </w:r>
    </w:p>
    <w:p>
      <w:r>
        <w:t>• Possible Resolution</w:t>
      </w:r>
    </w:p>
    <w:p>
      <w:r>
        <w:t>• Unresolved</w:t>
      </w:r>
    </w:p>
    <w:p>
      <w:pPr>
        <w:pStyle w:val="Heading1"/>
      </w:pPr>
      <w:r>
        <w:t>10. Enterprise Entity Evolution</w:t>
      </w:r>
    </w:p>
    <w:p>
      <w:r>
        <w:t>Enterprise Entity Resolution may determine that previously associated Source Objects should reference a different Enterprise Entity. In that case, a new Enterprise Entity may be established by an authorized capability outside EER, and new Resolution Records are produced. Historical Resolution Records remain immutable and available for audit.</w:t>
      </w:r>
    </w:p>
    <w:p>
      <w:pPr>
        <w:pStyle w:val="Heading1"/>
      </w:pPr>
      <w:r>
        <w:t>11. Capability Flow</w:t>
      </w:r>
    </w:p>
    <w:p>
      <w:r>
        <w:t>Operational Information → Source Object → Enterprise Entity Resolution → Enterprise Entity Resolution Record → Semantic Resolution</w:t>
      </w:r>
    </w:p>
    <w:p>
      <w:pPr>
        <w:pStyle w:val="Heading1"/>
      </w:pPr>
      <w:r>
        <w:t>12. MDM Comparison</w:t>
      </w:r>
    </w:p>
    <w:tbl>
      <w:tblPr>
        <w:tblStyle w:val="TableGrid"/>
        <w:tblW w:type="auto" w:w="0"/>
        <w:tblLook w:firstColumn="1" w:firstRow="1" w:lastColumn="0" w:lastRow="0" w:noHBand="0" w:noVBand="1" w:val="04A0"/>
      </w:tblPr>
      <w:tblGrid>
        <w:gridCol w:w="4320"/>
        <w:gridCol w:w="4320"/>
      </w:tblGrid>
      <w:tr>
        <w:tc>
          <w:tcPr>
            <w:tcW w:type="dxa" w:w="4320"/>
          </w:tcPr>
          <w:p>
            <w:r>
              <w:t>Traditional MDM</w:t>
            </w:r>
          </w:p>
        </w:tc>
        <w:tc>
          <w:tcPr>
            <w:tcW w:type="dxa" w:w="4320"/>
          </w:tcPr>
          <w:p>
            <w:r>
              <w:t>CTEC</w:t>
            </w:r>
          </w:p>
        </w:tc>
      </w:tr>
      <w:tr>
        <w:tc>
          <w:tcPr>
            <w:tcW w:type="dxa" w:w="4320"/>
          </w:tcPr>
          <w:p>
            <w:r>
              <w:t>Matches records</w:t>
            </w:r>
          </w:p>
        </w:tc>
        <w:tc>
          <w:tcPr>
            <w:tcW w:type="dxa" w:w="4320"/>
          </w:tcPr>
          <w:p>
            <w:r>
              <w:t>Builds enterprise understanding</w:t>
            </w:r>
          </w:p>
        </w:tc>
      </w:tr>
      <w:tr>
        <w:tc>
          <w:tcPr>
            <w:tcW w:type="dxa" w:w="4320"/>
          </w:tcPr>
          <w:p>
            <w:r>
              <w:t>Golden record</w:t>
            </w:r>
          </w:p>
        </w:tc>
        <w:tc>
          <w:tcPr>
            <w:tcW w:type="dxa" w:w="4320"/>
          </w:tcPr>
          <w:p>
            <w:r>
              <w:t>Enterprise Entity + immutable Resolution Record</w:t>
            </w:r>
          </w:p>
        </w:tc>
      </w:tr>
      <w:tr>
        <w:tc>
          <w:tcPr>
            <w:tcW w:type="dxa" w:w="4320"/>
          </w:tcPr>
          <w:p>
            <w:r>
              <w:t>Merges duplicates</w:t>
            </w:r>
          </w:p>
        </w:tc>
        <w:tc>
          <w:tcPr>
            <w:tcW w:type="dxa" w:w="4320"/>
          </w:tcPr>
          <w:p>
            <w:r>
              <w:t>Preserves provenance</w:t>
            </w:r>
          </w:p>
        </w:tc>
      </w:tr>
      <w:tr>
        <w:tc>
          <w:tcPr>
            <w:tcW w:type="dxa" w:w="4320"/>
          </w:tcPr>
          <w:p>
            <w:r>
              <w:t>Updates master record</w:t>
            </w:r>
          </w:p>
        </w:tc>
        <w:tc>
          <w:tcPr>
            <w:tcW w:type="dxa" w:w="4320"/>
          </w:tcPr>
          <w:p>
            <w:r>
              <w:t>Leaves ontology unchanged</w:t>
            </w:r>
          </w:p>
        </w:tc>
      </w:tr>
    </w:tbl>
    <w:p>
      <w:pPr>
        <w:pStyle w:val="Heading1"/>
      </w:pPr>
      <w:r>
        <w:t>13. Artifact Ownership</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Owner</w:t>
            </w:r>
          </w:p>
        </w:tc>
      </w:tr>
      <w:tr>
        <w:tc>
          <w:tcPr>
            <w:tcW w:type="dxa" w:w="4320"/>
          </w:tcPr>
          <w:p>
            <w:r>
              <w:t>Enterprise Entity</w:t>
            </w:r>
          </w:p>
        </w:tc>
        <w:tc>
          <w:tcPr>
            <w:tcW w:type="dxa" w:w="4320"/>
          </w:tcPr>
          <w:p>
            <w:r>
              <w:t>Canonical Enterprise Ontology</w:t>
            </w:r>
          </w:p>
        </w:tc>
      </w:tr>
      <w:tr>
        <w:tc>
          <w:tcPr>
            <w:tcW w:type="dxa" w:w="4320"/>
          </w:tcPr>
          <w:p>
            <w:r>
              <w:t>Enterprise Entity Resolution Record</w:t>
            </w:r>
          </w:p>
        </w:tc>
        <w:tc>
          <w:tcPr>
            <w:tcW w:type="dxa" w:w="4320"/>
          </w:tcPr>
          <w:p>
            <w:r>
              <w:t>Enterprise Entity Resolution Capability</w:t>
            </w:r>
          </w:p>
        </w:tc>
      </w:tr>
      <w:tr>
        <w:tc>
          <w:tcPr>
            <w:tcW w:type="dxa" w:w="4320"/>
          </w:tcPr>
          <w:p>
            <w:r>
              <w:t>Semantic Resolution Record</w:t>
            </w:r>
          </w:p>
        </w:tc>
        <w:tc>
          <w:tcPr>
            <w:tcW w:type="dxa" w:w="4320"/>
          </w:tcPr>
          <w:p>
            <w:r>
              <w:t>Semantic Resolution Capability</w:t>
            </w:r>
          </w:p>
        </w:tc>
      </w:tr>
      <w:tr>
        <w:tc>
          <w:tcPr>
            <w:tcW w:type="dxa" w:w="4320"/>
          </w:tcPr>
          <w:p>
            <w:r>
              <w:t>Assertion Record</w:t>
            </w:r>
          </w:p>
        </w:tc>
        <w:tc>
          <w:tcPr>
            <w:tcW w:type="dxa" w:w="4320"/>
          </w:tcPr>
          <w:p>
            <w:r>
              <w:t>Assertion Capability</w:t>
            </w:r>
          </w:p>
        </w:tc>
      </w:tr>
      <w:tr>
        <w:tc>
          <w:tcPr>
            <w:tcW w:type="dxa" w:w="4320"/>
          </w:tcPr>
          <w:p>
            <w:r>
              <w:t>Knowledge Record</w:t>
            </w:r>
          </w:p>
        </w:tc>
        <w:tc>
          <w:tcPr>
            <w:tcW w:type="dxa" w:w="4320"/>
          </w:tcPr>
          <w:p>
            <w:r>
              <w:t>Knowledge Capability</w:t>
            </w:r>
          </w:p>
        </w:tc>
      </w:tr>
    </w:tbl>
    <w:p>
      <w:pPr>
        <w:pStyle w:val="Heading1"/>
      </w:pPr>
      <w:r>
        <w:t>14. Success Criteria</w:t>
      </w:r>
    </w:p>
    <w:p>
      <w:r>
        <w:t>Operational information can be associated with an existing Enterprise Entity without modifying the Canonical Enterprise Ontology. Every decision is explainable, provenance is preserved, and immutable Resolution Records provide the institutional history of enterprise understanding.</w:t>
      </w:r>
    </w:p>
    <w:p>
      <w:pPr>
        <w:pStyle w:val="Heading1"/>
      </w:pPr>
      <w:r>
        <w:t>15. Traceability</w:t>
      </w:r>
    </w:p>
    <w:p>
      <w:r>
        <w:t>References: EAH-001, RFC-010, EAD-001, CDD-003 Revision 2. This document is the business authority for CDD-004.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