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ERM-001 — Enterprise Entity Resolution Business Model</w:t>
      </w:r>
    </w:p>
    <w:p>
      <w:pPr>
        <w:jc w:val="center"/>
      </w:pPr>
      <w:r>
        <w:rPr>
          <w:b/>
        </w:rPr>
        <w:t>Version 1.0</w:t>
        <w:br/>
      </w:r>
      <w:r>
        <w:t>Status: FROZEN</w:t>
        <w:br/>
      </w:r>
      <w:r>
        <w:t>Family: Cognitive Business Models (CBM)</w:t>
        <w:br/>
      </w:r>
      <w:r>
        <w:t>Owner: Enterprise Cognitive Operating Model (ECOM)</w:t>
      </w:r>
    </w:p>
    <w:p>
      <w:pPr>
        <w:pStyle w:val="Heading1"/>
      </w:pPr>
      <w:r>
        <w:t>1. Purpose</w:t>
      </w:r>
    </w:p>
    <w:p>
      <w:r>
        <w:t>Enterprise Entity Resolution (EER) establishes the enterprise's current understanding of which existing Enterprise Entity is referenced by operational information represented by Source Objects. It is the first cognitive capability built on top of the Canonical Enterprise Ontology (CEO).</w:t>
      </w:r>
    </w:p>
    <w:p>
      <w:pPr>
        <w:pStyle w:val="Heading1"/>
      </w:pPr>
      <w:r>
        <w:t>2. Business Problem</w:t>
      </w:r>
    </w:p>
    <w:p>
      <w:r>
        <w:t>Operational systems frequently describe the same real-world object differently. EER determines the canonical Enterprise Entity those representations refer to without modifying the ontology.</w:t>
      </w:r>
    </w:p>
    <w:p>
      <w:pPr>
        <w:pStyle w:val="Heading1"/>
      </w:pPr>
      <w:r>
        <w:t>3. Scope</w:t>
      </w:r>
    </w:p>
    <w:p>
      <w:pPr>
        <w:pStyle w:val="Heading2"/>
      </w:pPr>
      <w:r>
        <w:t>Owns</w:t>
      </w:r>
    </w:p>
    <w:p>
      <w:r>
        <w:t>• Candidate Discovery</w:t>
      </w:r>
    </w:p>
    <w:p>
      <w:r>
        <w:t>• Candidate Evaluation</w:t>
      </w:r>
    </w:p>
    <w:p>
      <w:r>
        <w:t>• Enterprise Entity Resolution</w:t>
      </w:r>
    </w:p>
    <w:p>
      <w:r>
        <w:t>• Resolution Explanation</w:t>
      </w:r>
    </w:p>
    <w:p>
      <w:r>
        <w:t>• Enterprise Entity Resolution Record</w:t>
      </w:r>
    </w:p>
    <w:p>
      <w:pPr>
        <w:pStyle w:val="Heading2"/>
      </w:pPr>
      <w:r>
        <w:t>Explicitly Out of Scope</w:t>
      </w:r>
    </w:p>
    <w:p>
      <w:r>
        <w:t>• Authentication / IAM</w:t>
      </w:r>
    </w:p>
    <w:p>
      <w:r>
        <w:t>• Semantic Resolution</w:t>
      </w:r>
    </w:p>
    <w:p>
      <w:r>
        <w:t>• Assertions</w:t>
      </w:r>
    </w:p>
    <w:p>
      <w:r>
        <w:t>• Knowledge</w:t>
      </w:r>
    </w:p>
    <w:p>
      <w:r>
        <w:t>• Decision</w:t>
      </w:r>
    </w:p>
    <w:p>
      <w:r>
        <w:t>• Governance</w:t>
      </w:r>
    </w:p>
    <w:p>
      <w:r>
        <w:t>• Enterprise Entity creation</w:t>
      </w:r>
    </w:p>
    <w:p>
      <w:r>
        <w:t>• Enterprise Entity modification</w:t>
      </w:r>
    </w:p>
    <w:p>
      <w:pPr>
        <w:pStyle w:val="Heading1"/>
      </w:pPr>
      <w:r>
        <w:t>4. Core Business Principles</w:t>
      </w:r>
    </w:p>
    <w:tbl>
      <w:tblPr>
        <w:tblStyle w:val="TableGrid"/>
        <w:tblW w:type="auto" w:w="0"/>
        <w:tblLook w:firstColumn="1" w:firstRow="1" w:lastColumn="0" w:lastRow="0" w:noHBand="0" w:noVBand="1" w:val="04A0"/>
      </w:tblPr>
      <w:tblGrid>
        <w:gridCol w:w="4320"/>
        <w:gridCol w:w="4320"/>
      </w:tblGrid>
      <w:tr>
        <w:tc>
          <w:tcPr>
            <w:tcW w:type="dxa" w:w="4320"/>
          </w:tcPr>
          <w:p>
            <w:r>
              <w:t>Principle</w:t>
            </w:r>
          </w:p>
        </w:tc>
        <w:tc>
          <w:tcPr>
            <w:tcW w:type="dxa" w:w="4320"/>
          </w:tcPr>
          <w:p>
            <w:r>
              <w:t>Statement</w:t>
            </w:r>
          </w:p>
        </w:tc>
      </w:tr>
      <w:tr>
        <w:tc>
          <w:tcPr>
            <w:tcW w:type="dxa" w:w="4320"/>
          </w:tcPr>
          <w:p>
            <w:r>
              <w:t>CP-001</w:t>
            </w:r>
          </w:p>
        </w:tc>
        <w:tc>
          <w:tcPr>
            <w:tcW w:type="dxa" w:w="4320"/>
          </w:tcPr>
          <w:p>
            <w:r>
              <w:t>Enterprise understanding evolves, but history is never lost.</w:t>
            </w:r>
          </w:p>
        </w:tc>
      </w:tr>
      <w:tr>
        <w:tc>
          <w:tcPr>
            <w:tcW w:type="dxa" w:w="4320"/>
          </w:tcPr>
          <w:p>
            <w:r>
              <w:t>CP-002</w:t>
            </w:r>
          </w:p>
        </w:tc>
        <w:tc>
          <w:tcPr>
            <w:tcW w:type="dxa" w:w="4320"/>
          </w:tcPr>
          <w:p>
            <w:r>
              <w:t>Resolution records the enterprise's best understanding at a point in time; it does not redefine reality.</w:t>
            </w:r>
          </w:p>
        </w:tc>
      </w:tr>
      <w:tr>
        <w:tc>
          <w:tcPr>
            <w:tcW w:type="dxa" w:w="4320"/>
          </w:tcPr>
          <w:p>
            <w:r>
              <w:t>CP-003</w:t>
            </w:r>
          </w:p>
        </w:tc>
        <w:tc>
          <w:tcPr>
            <w:tcW w:type="dxa" w:w="4320"/>
          </w:tcPr>
          <w:p>
            <w:r>
              <w:t>Every cognitive capability produces an immutable institutional record.</w:t>
            </w:r>
          </w:p>
        </w:tc>
      </w:tr>
      <w:tr>
        <w:tc>
          <w:tcPr>
            <w:tcW w:type="dxa" w:w="4320"/>
          </w:tcPr>
          <w:p>
            <w:r>
              <w:t>CP-004</w:t>
            </w:r>
          </w:p>
        </w:tc>
        <w:tc>
          <w:tcPr>
            <w:tcW w:type="dxa" w:w="4320"/>
          </w:tcPr>
          <w:p>
            <w:r>
              <w:t>Enterprise Entity Resolution never destroys provenance.</w:t>
            </w:r>
          </w:p>
        </w:tc>
      </w:tr>
      <w:tr>
        <w:tc>
          <w:tcPr>
            <w:tcW w:type="dxa" w:w="4320"/>
          </w:tcPr>
          <w:p>
            <w:r>
              <w:t>CP-005</w:t>
            </w:r>
          </w:p>
        </w:tc>
        <w:tc>
          <w:tcPr>
            <w:tcW w:type="dxa" w:w="4320"/>
          </w:tcPr>
          <w:p>
            <w:r>
              <w:t>Enterprise Entity Resolution never creates or modifies Enterprise Entities.</w:t>
            </w:r>
          </w:p>
        </w:tc>
      </w:tr>
    </w:tbl>
    <w:p>
      <w:pPr>
        <w:pStyle w:val="Heading1"/>
      </w:pPr>
      <w:r>
        <w:t>5. Business Vocabulary</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Definition</w:t>
            </w:r>
          </w:p>
        </w:tc>
      </w:tr>
      <w:tr>
        <w:tc>
          <w:tcPr>
            <w:tcW w:type="dxa" w:w="4320"/>
          </w:tcPr>
          <w:p>
            <w:r>
              <w:t>Enterprise Entity</w:t>
            </w:r>
          </w:p>
        </w:tc>
        <w:tc>
          <w:tcPr>
            <w:tcW w:type="dxa" w:w="4320"/>
          </w:tcPr>
          <w:p>
            <w:r>
              <w:t>Canonical representation of a real-world thing recognized by the enterprise.</w:t>
            </w:r>
          </w:p>
        </w:tc>
      </w:tr>
      <w:tr>
        <w:tc>
          <w:tcPr>
            <w:tcW w:type="dxa" w:w="4320"/>
          </w:tcPr>
          <w:p>
            <w:r>
              <w:t>Resolution Candidate</w:t>
            </w:r>
          </w:p>
        </w:tc>
        <w:tc>
          <w:tcPr>
            <w:tcW w:type="dxa" w:w="4320"/>
          </w:tcPr>
          <w:p>
            <w:r>
              <w:t>Existing Enterprise Entity considered during evaluation.</w:t>
            </w:r>
          </w:p>
        </w:tc>
      </w:tr>
      <w:tr>
        <w:tc>
          <w:tcPr>
            <w:tcW w:type="dxa" w:w="4320"/>
          </w:tcPr>
          <w:p>
            <w:r>
              <w:t>Resolution Outcome</w:t>
            </w:r>
          </w:p>
        </w:tc>
        <w:tc>
          <w:tcPr>
            <w:tcW w:type="dxa" w:w="4320"/>
          </w:tcPr>
          <w:p>
            <w:r>
              <w:t>Business outcome of the evaluation.</w:t>
            </w:r>
          </w:p>
        </w:tc>
      </w:tr>
      <w:tr>
        <w:tc>
          <w:tcPr>
            <w:tcW w:type="dxa" w:w="4320"/>
          </w:tcPr>
          <w:p>
            <w:r>
              <w:t>Resolution Confidence</w:t>
            </w:r>
          </w:p>
        </w:tc>
        <w:tc>
          <w:tcPr>
            <w:tcW w:type="dxa" w:w="4320"/>
          </w:tcPr>
          <w:p>
            <w:r>
              <w:t>Confidence in the enterprise's resolution decision, not a machine-learning probability.</w:t>
            </w:r>
          </w:p>
        </w:tc>
      </w:tr>
      <w:tr>
        <w:tc>
          <w:tcPr>
            <w:tcW w:type="dxa" w:w="4320"/>
          </w:tcPr>
          <w:p>
            <w:r>
              <w:t>Resolution Explanation</w:t>
            </w:r>
          </w:p>
        </w:tc>
        <w:tc>
          <w:tcPr>
            <w:tcW w:type="dxa" w:w="4320"/>
          </w:tcPr>
          <w:p>
            <w:r>
              <w:t>Human-readable explanation supporting the outcome.</w:t>
            </w:r>
          </w:p>
        </w:tc>
      </w:tr>
      <w:tr>
        <w:tc>
          <w:tcPr>
            <w:tcW w:type="dxa" w:w="4320"/>
          </w:tcPr>
          <w:p>
            <w:r>
              <w:t>Enterprise Entity Resolution Record</w:t>
            </w:r>
          </w:p>
        </w:tc>
        <w:tc>
          <w:tcPr>
            <w:tcW w:type="dxa" w:w="4320"/>
          </w:tcPr>
          <w:p>
            <w:r>
              <w:t>Immutable institutional record produced by this capability.</w:t>
            </w:r>
          </w:p>
        </w:tc>
      </w:tr>
    </w:tbl>
    <w:p>
      <w:pPr>
        <w:pStyle w:val="Heading1"/>
      </w:pPr>
      <w:r>
        <w:t>6. Inputs</w:t>
      </w:r>
    </w:p>
    <w:p>
      <w:r>
        <w:t>• Consumes existing CEO entity: Source Object</w:t>
      </w:r>
    </w:p>
    <w:p>
      <w:r>
        <w:t>• Consumes existing CEO entity: Enterprise Entity</w:t>
      </w:r>
    </w:p>
    <w:p>
      <w:r>
        <w:t>• Consumes existing CEO entity: Source System</w:t>
      </w:r>
    </w:p>
    <w:p>
      <w:pPr>
        <w:pStyle w:val="Heading1"/>
      </w:pPr>
      <w:r>
        <w:t>7. Outputs</w:t>
      </w:r>
    </w:p>
    <w:p>
      <w:r>
        <w:t>• Enterprise Entity reference</w:t>
      </w:r>
    </w:p>
    <w:p>
      <w:r>
        <w:t>• Resolution Outcome</w:t>
      </w:r>
    </w:p>
    <w:p>
      <w:r>
        <w:t>• Resolution Confidence</w:t>
      </w:r>
    </w:p>
    <w:p>
      <w:r>
        <w:t>• Resolution Explanation</w:t>
      </w:r>
    </w:p>
    <w:p>
      <w:r>
        <w:t>• Enterprise Entity Resolution Record</w:t>
      </w:r>
    </w:p>
    <w:p>
      <w:pPr>
        <w:pStyle w:val="Heading1"/>
      </w:pPr>
      <w:r>
        <w:t>8. Resolution Outcomes</w:t>
      </w:r>
    </w:p>
    <w:p>
      <w:r>
        <w:t>• Resolved</w:t>
      </w:r>
    </w:p>
    <w:p>
      <w:r>
        <w:t>• Possible Resolution</w:t>
      </w:r>
    </w:p>
    <w:p>
      <w:r>
        <w:t>• Unresolved</w:t>
      </w:r>
    </w:p>
    <w:p>
      <w:pPr>
        <w:pStyle w:val="Heading1"/>
      </w:pPr>
      <w:r>
        <w:t>9. Enterprise Entity Evolution</w:t>
      </w:r>
    </w:p>
    <w:p>
      <w:r>
        <w:t>If later institutional knowledge determines that a previously resolved Source Object belongs to a different real-world entity, a new Enterprise Entity SHALL be created and the affected Source Object(s) re-associated. Existing Enterprise Entity Resolution Records remain immutable to preserve historical understanding and provenance.</w:t>
      </w:r>
    </w:p>
    <w:p>
      <w:pPr>
        <w:pStyle w:val="Heading1"/>
      </w:pPr>
      <w:r>
        <w:t>10. Capability Lifecycle</w:t>
      </w:r>
    </w:p>
    <w:p>
      <w:r>
        <w:t>1. Candidate Discovery</w:t>
      </w:r>
    </w:p>
    <w:p>
      <w:r>
        <w:t>2. Candidate Evaluation</w:t>
      </w:r>
    </w:p>
    <w:p>
      <w:r>
        <w:t>3. Enterprise Entity Resolution</w:t>
      </w:r>
    </w:p>
    <w:p>
      <w:r>
        <w:t>4. Resolution Explanation</w:t>
      </w:r>
    </w:p>
    <w:p>
      <w:r>
        <w:t>5. Enterprise Entity Resolution Record</w:t>
      </w:r>
    </w:p>
    <w:p>
      <w:pPr>
        <w:pStyle w:val="Heading1"/>
      </w:pPr>
      <w:r>
        <w:t>11. Architectural Boundary</w:t>
      </w:r>
    </w:p>
    <w:p>
      <w:r>
        <w:t>Consumes the Canonical Enterprise Ontology. Produces cognitive records. Does not modify the Canonical Enterprise Ontology.</w:t>
      </w:r>
    </w:p>
    <w:p>
      <w:pPr>
        <w:pStyle w:val="Heading1"/>
      </w:pPr>
      <w:r>
        <w:t>12. Relationship to Future Capabilities</w:t>
      </w:r>
    </w:p>
    <w:tbl>
      <w:tblPr>
        <w:tblStyle w:val="TableGrid"/>
        <w:tblW w:type="auto" w:w="0"/>
        <w:tblLook w:firstColumn="1" w:firstRow="1" w:lastColumn="0" w:lastRow="0" w:noHBand="0" w:noVBand="1" w:val="04A0"/>
      </w:tblPr>
      <w:tblGrid>
        <w:gridCol w:w="4320"/>
        <w:gridCol w:w="4320"/>
      </w:tblGrid>
      <w:tr>
        <w:tc>
          <w:tcPr>
            <w:tcW w:type="dxa" w:w="4320"/>
          </w:tcPr>
          <w:p>
            <w:r>
              <w:t>Capability</w:t>
            </w:r>
          </w:p>
        </w:tc>
        <w:tc>
          <w:tcPr>
            <w:tcW w:type="dxa" w:w="4320"/>
          </w:tcPr>
          <w:p>
            <w:r>
              <w:t>Relationship</w:t>
            </w:r>
          </w:p>
        </w:tc>
      </w:tr>
      <w:tr>
        <w:tc>
          <w:tcPr>
            <w:tcW w:type="dxa" w:w="4320"/>
          </w:tcPr>
          <w:p>
            <w:r>
              <w:t>Semantic Resolution</w:t>
            </w:r>
          </w:p>
        </w:tc>
        <w:tc>
          <w:tcPr>
            <w:tcW w:type="dxa" w:w="4320"/>
          </w:tcPr>
          <w:p>
            <w:r>
              <w:t>Consumes Enterprise Entity Resolution Records.</w:t>
            </w:r>
          </w:p>
        </w:tc>
      </w:tr>
      <w:tr>
        <w:tc>
          <w:tcPr>
            <w:tcW w:type="dxa" w:w="4320"/>
          </w:tcPr>
          <w:p>
            <w:r>
              <w:t>Assertion</w:t>
            </w:r>
          </w:p>
        </w:tc>
        <w:tc>
          <w:tcPr>
            <w:tcW w:type="dxa" w:w="4320"/>
          </w:tcPr>
          <w:p>
            <w:r>
              <w:t>Builds assertions using resolved enterprise references.</w:t>
            </w:r>
          </w:p>
        </w:tc>
      </w:tr>
      <w:tr>
        <w:tc>
          <w:tcPr>
            <w:tcW w:type="dxa" w:w="4320"/>
          </w:tcPr>
          <w:p>
            <w:r>
              <w:t>Knowledge</w:t>
            </w:r>
          </w:p>
        </w:tc>
        <w:tc>
          <w:tcPr>
            <w:tcW w:type="dxa" w:w="4320"/>
          </w:tcPr>
          <w:p>
            <w:r>
              <w:t>Institutionalizes validated assertions.</w:t>
            </w:r>
          </w:p>
        </w:tc>
      </w:tr>
      <w:tr>
        <w:tc>
          <w:tcPr>
            <w:tcW w:type="dxa" w:w="4320"/>
          </w:tcPr>
          <w:p>
            <w:r>
              <w:t>Decision</w:t>
            </w:r>
          </w:p>
        </w:tc>
        <w:tc>
          <w:tcPr>
            <w:tcW w:type="dxa" w:w="4320"/>
          </w:tcPr>
          <w:p>
            <w:r>
              <w:t>Uses institutional knowledge.</w:t>
            </w:r>
          </w:p>
        </w:tc>
      </w:tr>
      <w:tr>
        <w:tc>
          <w:tcPr>
            <w:tcW w:type="dxa" w:w="4320"/>
          </w:tcPr>
          <w:p>
            <w:r>
              <w:t>Governance</w:t>
            </w:r>
          </w:p>
        </w:tc>
        <w:tc>
          <w:tcPr>
            <w:tcW w:type="dxa" w:w="4320"/>
          </w:tcPr>
          <w:p>
            <w:r>
              <w:t>Approves, retires and governs institutional understanding.</w:t>
            </w:r>
          </w:p>
        </w:tc>
      </w:tr>
    </w:tbl>
    <w:p>
      <w:pPr>
        <w:pStyle w:val="Heading1"/>
      </w:pPr>
      <w:r>
        <w:t>13. Success Criteria</w:t>
      </w:r>
    </w:p>
    <w:p>
      <w:r>
        <w:t>The capability is successful when operational information can be associated with an existing Enterprise Entity, every outcome is explainable, provenance is preserved, Enterprise Entity creation/modification is never performed by this capability, and the Canonical Enterprise Ontology remains unchanged.</w:t>
      </w:r>
    </w:p>
    <w:p>
      <w:pPr>
        <w:pStyle w:val="Heading1"/>
      </w:pPr>
      <w:r>
        <w:t>14. Traceability</w:t>
      </w:r>
    </w:p>
    <w:p>
      <w:r>
        <w:t>Architecture Handbook: EAH-001</w:t>
        <w:br/>
        <w:t>Canonical Boundary: RFC-010</w:t>
        <w:br/>
        <w:t>Canonical Attributes: EAD-001</w:t>
        <w:br/>
        <w:t>Implementation Work Order: CDD-004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