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EAH-001 — ECOM Architecture Handbook</w:t>
      </w:r>
    </w:p>
    <w:p>
      <w:pPr>
        <w:jc w:val="center"/>
      </w:pPr>
      <w:r>
        <w:rPr>
          <w:b/>
        </w:rPr>
        <w:t>Version 1.1</w:t>
        <w:br/>
      </w:r>
      <w:r>
        <w:rPr>
          <w:b w:val="0"/>
        </w:rPr>
        <w:t>Status: FOUNDATION EDITION (Living Handbook)</w:t>
        <w:br/>
      </w:r>
      <w:r>
        <w:rPr>
          <w:b w:val="0"/>
        </w:rPr>
        <w:t>Architecture Status: Frozen sections referenced where applicable</w:t>
        <w:br/>
      </w:r>
      <w:r>
        <w:rPr>
          <w:b w:val="0"/>
        </w:rPr>
        <w:t>Supersedes: EAH-001 v1.0</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b/>
              </w:rPr>
              <w:t>Version</w:t>
            </w:r>
          </w:p>
        </w:tc>
        <w:tc>
          <w:tcPr>
            <w:tcW w:type="dxa" w:w="2160"/>
          </w:tcPr>
          <w:p>
            <w:r>
              <w:rPr>
                <w:b/>
              </w:rPr>
              <w:t>Date</w:t>
            </w:r>
          </w:p>
        </w:tc>
        <w:tc>
          <w:tcPr>
            <w:tcW w:type="dxa" w:w="2160"/>
          </w:tcPr>
          <w:p>
            <w:r>
              <w:rPr>
                <w:b/>
              </w:rPr>
              <w:t>Status</w:t>
            </w:r>
          </w:p>
        </w:tc>
        <w:tc>
          <w:tcPr>
            <w:tcW w:type="dxa" w:w="2160"/>
          </w:tcPr>
          <w:p>
            <w:r>
              <w:rPr>
                <w:b/>
              </w:rPr>
              <w:t>Notes</w:t>
            </w:r>
          </w:p>
        </w:tc>
      </w:tr>
      <w:tr>
        <w:tc>
          <w:tcPr>
            <w:tcW w:type="dxa" w:w="2160"/>
          </w:tcPr>
          <w:p>
            <w:r>
              <w:t>1.1</w:t>
            </w:r>
          </w:p>
        </w:tc>
        <w:tc>
          <w:tcPr>
            <w:tcW w:type="dxa" w:w="2160"/>
          </w:tcPr>
          <w:p>
            <w:r>
              <w:t>Current</w:t>
            </w:r>
          </w:p>
        </w:tc>
        <w:tc>
          <w:tcPr>
            <w:tcW w:type="dxa" w:w="2160"/>
          </w:tcPr>
          <w:p>
            <w:r>
              <w:t>Foundation</w:t>
            </w:r>
          </w:p>
        </w:tc>
        <w:tc>
          <w:tcPr>
            <w:tcW w:type="dxa" w:w="2160"/>
          </w:tcPr>
          <w:p>
            <w:r>
              <w:t>Business Capability Model layer added to the constitutional document hierarchy.</w:t>
            </w:r>
          </w:p>
        </w:tc>
      </w:tr>
      <w:tr>
        <w:tc>
          <w:tcPr>
            <w:tcW w:type="dxa" w:w="2160"/>
          </w:tcPr>
          <w:p>
            <w:r>
              <w:t>1.0</w:t>
            </w:r>
          </w:p>
        </w:tc>
        <w:tc>
          <w:tcPr>
            <w:tcW w:type="dxa" w:w="2160"/>
          </w:tcPr>
          <w:p>
            <w:r>
              <w:t>Prior</w:t>
            </w:r>
          </w:p>
        </w:tc>
        <w:tc>
          <w:tcPr>
            <w:tcW w:type="dxa" w:w="2160"/>
          </w:tcPr>
          <w:p>
            <w:r>
              <w:t>Foundation</w:t>
            </w:r>
          </w:p>
        </w:tc>
        <w:tc>
          <w:tcPr>
            <w:tcW w:type="dxa" w:w="2160"/>
          </w:tcPr>
          <w:p>
            <w:r>
              <w:t>Initial consolidated handbook</w:t>
            </w:r>
          </w:p>
        </w:tc>
      </w:tr>
    </w:tbl>
    <w:p>
      <w:pPr>
        <w:pStyle w:val="Heading1"/>
      </w:pPr>
      <w:r>
        <w:t>Table of Contents</w:t>
      </w:r>
    </w:p>
    <w:p>
      <w:r>
        <w:t>• I. Vision &amp; Mission</w:t>
      </w:r>
    </w:p>
    <w:p>
      <w:r>
        <w:t>• II. Startup Engineering Principles</w:t>
      </w:r>
    </w:p>
    <w:p>
      <w:r>
        <w:t>• III. Architecture Principles</w:t>
      </w:r>
    </w:p>
    <w:p>
      <w:r>
        <w:t>• IV. Canonical Enterprise Ontology (CEO)</w:t>
      </w:r>
    </w:p>
    <w:p>
      <w:r>
        <w:t>• V. Canonical Cognitive Boundary (RFC-010)</w:t>
      </w:r>
    </w:p>
    <w:p>
      <w:pPr/>
      <w:r>
        <w:t>• VI. Business Capability Models (BCMs)</w:t>
      </w:r>
    </w:p>
    <w:p>
      <w:r>
        <w:t>• VII. Logical &amp; Physical Models</w:t>
      </w:r>
    </w:p>
    <w:p>
      <w:r>
        <w:t>• VIII. Attribute Dictionary (EAD-001)</w:t>
      </w:r>
    </w:p>
    <w:p>
      <w:r>
        <w:t>• IX. Technology Architecture (TAS-001)</w:t>
      </w:r>
    </w:p>
    <w:p>
      <w:r>
        <w:t>• X. Development Standard (CDS-001)</w:t>
      </w:r>
    </w:p>
    <w:p>
      <w:r>
        <w:t>• XI. Capability Roadmap</w:t>
      </w:r>
    </w:p>
    <w:p>
      <w:r>
        <w:t>• XII. Architecture Boundary Contracts</w:t>
      </w:r>
    </w:p>
    <w:p>
      <w:r>
        <w:t>• XIII. Governance of the Handbook</w:t>
      </w:r>
    </w:p>
    <w:p>
      <w:pPr>
        <w:pStyle w:val="Heading1"/>
      </w:pPr>
      <w:r>
        <w:t>I. Vision &amp; Mission</w:t>
      </w:r>
    </w:p>
    <w:p>
      <w:r>
        <w:t>ECOM exists to transform fragmented enterprise operational data into governed institutional knowledge through an ontology-first architecture.</w:t>
      </w:r>
    </w:p>
    <w:p>
      <w:r>
        <w:t>Mission: Build an Enterprise Cognitive Operating Model where ontology precedes cognition, cognition consumes ontology, and governance institutionalizes cognition.</w:t>
      </w:r>
    </w:p>
    <w:p>
      <w:pPr>
        <w:pStyle w:val="Heading1"/>
      </w:pPr>
      <w:r>
        <w:t>II. Startup Engineering Principles</w:t>
      </w:r>
    </w:p>
    <w:p>
      <w:r>
        <w:t>• Progress over perfection.</w:t>
      </w:r>
    </w:p>
    <w:p>
      <w:r>
        <w:t>• Prototype before scale.</w:t>
      </w:r>
    </w:p>
    <w:p>
      <w:r>
        <w:t>• Ontology before cognition.</w:t>
      </w:r>
    </w:p>
    <w:p>
      <w:r>
        <w:t>• Cognition before UI.</w:t>
      </w:r>
    </w:p>
    <w:p>
      <w:r>
        <w:t>• Build differentiators before enterprise plumbing.</w:t>
      </w:r>
    </w:p>
    <w:p>
      <w:r>
        <w:t>• Everything not required for the YC prototype is deferred.</w:t>
      </w:r>
    </w:p>
    <w:p>
      <w:pPr>
        <w:pStyle w:val="Heading1"/>
      </w:pPr>
      <w:r>
        <w:t>III. Architecture Principles</w:t>
      </w:r>
    </w:p>
    <w:p>
      <w:r>
        <w:t>• Clean Architecture</w:t>
      </w:r>
    </w:p>
    <w:p>
      <w:r>
        <w:t>• Domain Driven Design</w:t>
      </w:r>
    </w:p>
    <w:p>
      <w:r>
        <w:t>• Modular Monolith First</w:t>
      </w:r>
    </w:p>
    <w:p>
      <w:r>
        <w:t>• Explainability by Design</w:t>
      </w:r>
    </w:p>
    <w:p>
      <w:r>
        <w:t>• Canonical Enterprise Ontology is the single business truth</w:t>
      </w:r>
    </w:p>
    <w:p>
      <w:r>
        <w:t>• Code never defines architecture; architecture defines code.</w:t>
      </w:r>
    </w:p>
    <w:p>
      <w:pPr>
        <w:pStyle w:val="Heading1"/>
      </w:pPr>
      <w:r>
        <w:t>IV. Canonical Enterprise Ontology (CEO)</w:t>
      </w:r>
    </w:p>
    <w:p>
      <w:r>
        <w:t>The CEO is the immutable business ontology of ECOM. Cognitive services consume it but never redefine it.</w:t>
      </w:r>
    </w:p>
    <w:p>
      <w:pPr>
        <w:pStyle w:val="Heading2"/>
      </w:pPr>
      <w:r>
        <w:t>Foundation Entities</w:t>
      </w:r>
    </w:p>
    <w:p>
      <w:r>
        <w:t>• Enterprise</w:t>
      </w:r>
    </w:p>
    <w:p>
      <w:r>
        <w:t>• Enterprise Type</w:t>
      </w:r>
    </w:p>
    <w:p>
      <w:r>
        <w:t>• Business Domain</w:t>
      </w:r>
    </w:p>
    <w:p>
      <w:r>
        <w:t>• Country</w:t>
      </w:r>
    </w:p>
    <w:p>
      <w:r>
        <w:t>• Institutional Concept</w:t>
      </w:r>
    </w:p>
    <w:p>
      <w:r>
        <w:t>• Entity Type</w:t>
      </w:r>
    </w:p>
    <w:p>
      <w:r>
        <w:t>• Relationship Type</w:t>
      </w:r>
    </w:p>
    <w:p>
      <w:pPr>
        <w:pStyle w:val="Heading2"/>
      </w:pPr>
      <w:r>
        <w:t>Operational Entities</w:t>
      </w:r>
    </w:p>
    <w:p>
      <w:r>
        <w:t>• Enterprise Entity</w:t>
      </w:r>
    </w:p>
    <w:p>
      <w:r>
        <w:t>• Source System</w:t>
      </w:r>
    </w:p>
    <w:p>
      <w:r>
        <w:t>• Source Object</w:t>
      </w:r>
    </w:p>
    <w:p>
      <w:pPr>
        <w:pStyle w:val="Heading1"/>
      </w:pPr>
      <w:r>
        <w:t>V. Canonical Cognitive Boundary (RFC-010)</w:t>
      </w:r>
    </w:p>
    <w:p>
      <w:r>
        <w:t>Frozen Principle:</w:t>
      </w:r>
    </w:p>
    <w:p>
      <w:r>
        <w:t>Ontology precedes cognition. Cognition consumes ontology. Governance institutionalizes cognition.</w:t>
      </w:r>
    </w:p>
    <w:p>
      <w:pPr>
        <w:pStyle w:val="Heading2"/>
      </w:pPr>
      <w:r>
        <w:t>Capability Order</w:t>
      </w:r>
    </w:p>
    <w:p>
      <w:r>
        <w:t>→ Identity Resolution</w:t>
      </w:r>
    </w:p>
    <w:p>
      <w:r>
        <w:t>→ Semantic Resolution</w:t>
      </w:r>
    </w:p>
    <w:p>
      <w:r>
        <w:t>→ Assertion</w:t>
      </w:r>
    </w:p>
    <w:p>
      <w:r>
        <w:t>→ Knowledge</w:t>
      </w:r>
    </w:p>
    <w:p>
      <w:r>
        <w:t>→ Decision</w:t>
      </w:r>
    </w:p>
    <w:p>
      <w:r>
        <w:t>→ Governance</w:t>
      </w:r>
    </w:p>
    <w:p>
      <w:r>
        <w:t>→ Experience</w:t>
      </w:r>
    </w:p>
    <w:p>
      <w:r>
        <w:t>→ Learning</w:t>
      </w:r>
    </w:p>
    <w:p>
      <w:pPr>
        <w:pStyle w:val="Heading1"/>
      </w:pPr>
      <w:r>
        <w:t>VI. Business Capability Models (BCMs)</w:t>
      </w:r>
    </w:p>
    <w:p>
      <w:pPr/>
      <w:r>
        <w:t>Business Capability Models are constitutional specifications of business capability semantics and business artifacts. They translate the architecture and Canonical Enterprise Ontology into authoritative business meaning without defining engineering implementation.</w:t>
      </w:r>
    </w:p>
    <w:p>
      <w:pPr/>
      <w:r>
        <w:t>A frozen Business Capability Model is authoritative for its assigned CDD. The CDD references its business artifacts rather than duplicating or redefining them. Engineering remains responsible for private implementation artifacts unless they become externally visible or modify canonical business semantics.</w:t>
      </w:r>
    </w:p>
    <w:p>
      <w:pPr>
        <w:pStyle w:val="Heading2"/>
      </w:pPr>
      <w:r>
        <w:t>Initial Business Capability Models</w:t>
      </w:r>
    </w:p>
    <w:p>
      <w:pPr/>
      <w:r>
        <w:t>• ERM-001 — Enterprise Entity Resolution Business Model v2.0 (Frozen; authoritative for CDD-004)</w:t>
      </w:r>
    </w:p>
    <w:p>
      <w:pPr/>
      <w:r>
        <w:t>• Future capability models may include Semantic Resolution Models (SRM) and equivalent governed specifications.</w:t>
      </w:r>
    </w:p>
    <w:p>
      <w:pPr>
        <w:pStyle w:val="Heading1"/>
      </w:pPr>
      <w:r>
        <w:t>VII. Logical &amp; Physical Models</w:t>
      </w:r>
    </w:p>
    <w:p>
      <w:r>
        <w:t>The Logical Model defines enterprise semantics. The Physical Model defines implementation. Neither may be changed by implementation CDDs.</w:t>
      </w:r>
    </w:p>
    <w:p>
      <w:pPr>
        <w:pStyle w:val="Heading1"/>
      </w:pPr>
      <w:r>
        <w:t>VIII. Enterprise Attribute Dictionary (EAD-001)</w:t>
      </w:r>
    </w:p>
    <w:p>
      <w:r>
        <w:t>EAD-001 is the authoritative source for canonical attributes. Implementations must not invent attributes.</w:t>
      </w:r>
    </w:p>
    <w:p>
      <w:pPr>
        <w:pStyle w:val="Heading1"/>
      </w:pPr>
      <w:r>
        <w:t>IX. Technology Architecture (TAS-001)</w:t>
      </w:r>
    </w:p>
    <w:p>
      <w:r>
        <w:t>Prototype technology stack: PostgreSQL, SQLAlchemy, Alembic, FastAPI, React/Next.js, Docker, OpenAPI. Open-source first. Simplicity before scale.</w:t>
      </w:r>
    </w:p>
    <w:p>
      <w:pPr>
        <w:pStyle w:val="Heading1"/>
      </w:pPr>
      <w:r>
        <w:t>X. Codex Development Standard (CDS-001)</w:t>
      </w:r>
    </w:p>
    <w:p>
      <w:r>
        <w:t>Every CDD must implement only its assigned capability, obey frozen RFCs, perform architecture drift checks, and stop on ambiguity.</w:t>
      </w:r>
    </w:p>
    <w:p>
      <w:pPr>
        <w:pStyle w:val="Heading1"/>
      </w:pPr>
      <w:r>
        <w:t>XI. Capability Roadmap</w:t>
      </w:r>
    </w:p>
    <w:p>
      <w:r>
        <w:t>• CDD-001 Project Foundation (Frozen)</w:t>
      </w:r>
    </w:p>
    <w:p>
      <w:r>
        <w:t>• CDD-002 Persistence (Frozen)</w:t>
      </w:r>
    </w:p>
    <w:p>
      <w:r>
        <w:t>• CDD-003 Canonical Enterprise Ontology (Frozen)</w:t>
      </w:r>
    </w:p>
    <w:p>
      <w:r>
        <w:t>• CDD-004 Identity Resolution</w:t>
      </w:r>
    </w:p>
    <w:p>
      <w:r>
        <w:t>• CDD-005 Semantic Resolution</w:t>
      </w:r>
    </w:p>
    <w:p>
      <w:r>
        <w:t>• CDD-006 Assertion</w:t>
      </w:r>
    </w:p>
    <w:p>
      <w:r>
        <w:t>• CDD-007 Knowledge</w:t>
      </w:r>
    </w:p>
    <w:p>
      <w:r>
        <w:t>• CDD-008 Decision</w:t>
      </w:r>
    </w:p>
    <w:p>
      <w:r>
        <w:t>• CDD-009 Governance</w:t>
      </w:r>
    </w:p>
    <w:p>
      <w:r>
        <w:t>• CDD-010 Experience</w:t>
      </w:r>
    </w:p>
    <w:p>
      <w:r>
        <w:t>• CDD-011 Learning</w:t>
      </w:r>
    </w:p>
    <w:p>
      <w:r>
        <w:t>• CDD-012 UI / Prototype Demo</w:t>
      </w:r>
    </w:p>
    <w:p>
      <w:pPr>
        <w:pStyle w:val="Heading1"/>
      </w:pPr>
      <w:r>
        <w:t>XII. Architecture Boundary Contracts</w:t>
      </w:r>
    </w:p>
    <w:p>
      <w:r>
        <w:t>Each capability owns only its constitutional responsibility. Business Capability Models own capability semantics and business artifacts; CDDs implement those models and do not redefine them. A capability may not introduce canonical entities, attributes, or relationships. Architecture changes require a new RFC.</w:t>
      </w:r>
    </w:p>
    <w:p>
      <w:pPr>
        <w:pStyle w:val="Heading1"/>
      </w:pPr>
      <w:r>
        <w:t>XIII. Handbook Governance</w:t>
      </w:r>
    </w:p>
    <w:p>
      <w:r>
        <w:t>EAH-001 is the single architectural reference for the engineering team.</w:t>
      </w:r>
    </w:p>
    <w:p>
      <w:r>
        <w:t>Hierarchy of authority:</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Layer</w:t>
            </w:r>
          </w:p>
        </w:tc>
        <w:tc>
          <w:tcPr>
            <w:tcW w:type="dxa" w:w="4320"/>
          </w:tcPr>
          <w:p>
            <w:r>
              <w:rPr>
                <w:b/>
              </w:rPr>
              <w:t>Owns</w:t>
            </w:r>
          </w:p>
        </w:tc>
      </w:tr>
      <w:tr>
        <w:tc>
          <w:tcPr>
            <w:tcW w:type="dxa" w:w="4320"/>
            <w:vAlign w:val="center"/>
          </w:tcPr>
          <w:p>
            <w:r>
              <w:t>EAH-001</w:t>
            </w:r>
          </w:p>
        </w:tc>
        <w:tc>
          <w:tcPr>
            <w:tcW w:type="dxa" w:w="4320"/>
            <w:vAlign w:val="center"/>
          </w:tcPr>
          <w:p>
            <w:r>
              <w:t>Overall architecture</w:t>
            </w:r>
          </w:p>
        </w:tc>
      </w:tr>
      <w:tr>
        <w:tc>
          <w:tcPr>
            <w:tcW w:type="dxa" w:w="4320"/>
            <w:vAlign w:val="center"/>
          </w:tcPr>
          <w:p>
            <w:r>
              <w:t>RFCs</w:t>
            </w:r>
          </w:p>
        </w:tc>
        <w:tc>
          <w:tcPr>
            <w:tcW w:type="dxa" w:w="4320"/>
            <w:vAlign w:val="center"/>
          </w:tcPr>
          <w:p>
            <w:r>
              <w:t>Architectural decisions</w:t>
            </w:r>
          </w:p>
        </w:tc>
      </w:tr>
      <w:tr>
        <w:tc>
          <w:tcPr>
            <w:tcW w:type="dxa" w:w="4320"/>
            <w:vAlign w:val="center"/>
          </w:tcPr>
          <w:p>
            <w:r>
              <w:t>Canonical Enterprise Ontology (CEO)</w:t>
            </w:r>
          </w:p>
        </w:tc>
        <w:tc>
          <w:tcPr>
            <w:tcW w:type="dxa" w:w="4320"/>
            <w:vAlign w:val="center"/>
          </w:tcPr>
          <w:p>
            <w:r>
              <w:t>Enterprise reality</w:t>
            </w:r>
          </w:p>
        </w:tc>
      </w:tr>
      <w:tr>
        <w:tc>
          <w:tcPr>
            <w:tcW w:type="dxa" w:w="4320"/>
            <w:vAlign w:val="center"/>
          </w:tcPr>
          <w:p>
            <w:r>
              <w:t>Business Capability Models (ERM, future SRM, etc.)</w:t>
            </w:r>
          </w:p>
        </w:tc>
        <w:tc>
          <w:tcPr>
            <w:tcW w:type="dxa" w:w="4320"/>
            <w:vAlign w:val="center"/>
          </w:tcPr>
          <w:p>
            <w:r>
              <w:t>Business capability semantics and business artifacts</w:t>
            </w:r>
          </w:p>
        </w:tc>
      </w:tr>
      <w:tr>
        <w:tc>
          <w:tcPr>
            <w:tcW w:type="dxa" w:w="4320"/>
            <w:vAlign w:val="center"/>
          </w:tcPr>
          <w:p>
            <w:r>
              <w:t>CDDs</w:t>
            </w:r>
          </w:p>
        </w:tc>
        <w:tc>
          <w:tcPr>
            <w:tcW w:type="dxa" w:w="4320"/>
            <w:vAlign w:val="center"/>
          </w:tcPr>
          <w:p>
            <w:r>
              <w:t>Engineering implementation work orders</w:t>
            </w:r>
          </w:p>
        </w:tc>
      </w:tr>
      <w:tr>
        <w:tc>
          <w:tcPr>
            <w:tcW w:type="dxa" w:w="4320"/>
            <w:vAlign w:val="center"/>
          </w:tcPr>
          <w:p>
            <w:r>
              <w:t>Code</w:t>
            </w:r>
          </w:p>
        </w:tc>
        <w:tc>
          <w:tcPr>
            <w:tcW w:type="dxa" w:w="4320"/>
            <w:vAlign w:val="center"/>
          </w:tcPr>
          <w:p>
            <w:r>
              <w:t>Runtime implementation</w:t>
            </w:r>
          </w:p>
        </w:tc>
      </w:tr>
    </w:tbl>
    <w:p>
      <w:r>
        <w:t>Supporting governed specifications: the Logical Model and EAD-001 define canonical semantics and attributes; the Physical Model defines governed persistence implementation; TAS-001 constrains technology; CDS-001 governs engineering execution.</w:t>
      </w:r>
    </w:p>
    <w:p>
      <w:pPr>
        <w:pStyle w:val="Heading1"/>
      </w:pPr>
      <w:r>
        <w:t>Appendix A — Frozen Principles</w:t>
      </w:r>
    </w:p>
    <w:p>
      <w:r>
        <w:t>• Ontology precedes cognition.</w:t>
      </w:r>
    </w:p>
    <w:p>
      <w:r>
        <w:t>• Cognition consumes ontology.</w:t>
      </w:r>
    </w:p>
    <w:p>
      <w:r>
        <w:t>• Governance institutionalizes cognition.</w:t>
      </w:r>
    </w:p>
    <w:p>
      <w:r>
        <w:t>• Architecture before optimization.</w:t>
      </w:r>
    </w:p>
    <w:p>
      <w:r>
        <w:t>• Prototype before scale.</w:t>
      </w:r>
    </w:p>
    <w:p>
      <w:pPr/>
      <w:r>
        <w:t>• Business Capability Models define business semantics and artifacts; CDDs reference them rather than duplicate them.</w:t>
      </w:r>
    </w:p>
    <w:p>
      <w:r>
        <w:t>• The Handbook owns architecture. RFCs evolve architecture. The CEO owns enterprise reality. BCMs own capability semantics. CDDs implement. Code runs the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