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CDD-004 — Enterprise Entity Resolution Engine</w:t>
      </w:r>
    </w:p>
    <w:p>
      <w:pPr>
        <w:jc w:val="center"/>
      </w:pPr>
      <w:r>
        <w:rPr>
          <w:b/>
        </w:rPr>
        <w:t>Version 4.0</w:t>
        <w:br/>
        <w:t>Status: DEVELOPMENT WORK ORDER</w:t>
      </w:r>
    </w:p>
    <w:p>
      <w:pPr>
        <w:pStyle w:val="Heading1"/>
      </w:pPr>
      <w:r>
        <w:t>1. Purpose</w:t>
      </w:r>
    </w:p>
    <w:p>
      <w:r>
        <w:t>Implement ERM-001 v2.0 exactly as specified. This document is an engineering work order and does not define business semantics.</w:t>
      </w:r>
    </w:p>
    <w:p>
      <w:pPr>
        <w:pStyle w:val="Heading1"/>
      </w:pPr>
      <w:r>
        <w:t>2. Authority Chain</w:t>
      </w:r>
    </w:p>
    <w:p>
      <w:pPr>
        <w:pStyle w:val="ListBullet"/>
      </w:pPr>
      <w:r>
        <w:t>EAH-001</w:t>
      </w:r>
    </w:p>
    <w:p>
      <w:pPr>
        <w:pStyle w:val="ListBullet"/>
      </w:pPr>
      <w:r>
        <w:t>RFC-010</w:t>
      </w:r>
    </w:p>
    <w:p>
      <w:pPr>
        <w:pStyle w:val="ListBullet"/>
      </w:pPr>
      <w:r>
        <w:t>CDD-003 Revision 2 (Canonical Enterprise Ontology)</w:t>
      </w:r>
    </w:p>
    <w:p>
      <w:pPr>
        <w:pStyle w:val="ListBullet"/>
      </w:pPr>
      <w:r>
        <w:t>EAD-001</w:t>
      </w:r>
    </w:p>
    <w:p>
      <w:pPr>
        <w:pStyle w:val="ListBullet"/>
      </w:pPr>
      <w:r>
        <w:t>ERM-001 v2.0 (Authorized Business Capability Specification)</w:t>
      </w:r>
    </w:p>
    <w:p>
      <w:pPr>
        <w:pStyle w:val="ListBullet"/>
      </w:pPr>
      <w:r>
        <w:t>CDS-001 v1.2</w:t>
      </w:r>
    </w:p>
    <w:p>
      <w:pPr>
        <w:pStyle w:val="Heading1"/>
      </w:pPr>
      <w:r>
        <w:t>3. Architectural Evolution Since Previous Drafts</w:t>
      </w:r>
    </w:p>
    <w:p>
      <w:pPr>
        <w:pStyle w:val="ListBullet"/>
      </w:pPr>
      <w:r>
        <w:t>Business semantics moved from CDD into ERM-001 v2.0.</w:t>
      </w:r>
    </w:p>
    <w:p>
      <w:pPr>
        <w:pStyle w:val="ListBullet"/>
      </w:pPr>
      <w:r>
        <w:t>Business artifacts are defined by the Business Capability Specification.</w:t>
      </w:r>
    </w:p>
    <w:p>
      <w:pPr>
        <w:pStyle w:val="ListBullet"/>
      </w:pPr>
      <w:r>
        <w:t>Authorized Business Capability replaces exhaustive Authorized Artifacts.</w:t>
      </w:r>
    </w:p>
    <w:p>
      <w:pPr>
        <w:pStyle w:val="ListBullet"/>
      </w:pPr>
      <w:r>
        <w:t>Engineering owns implementation artifacts (classes, DTOs, repositories, APIs, algorithms).</w:t>
      </w:r>
    </w:p>
    <w:p>
      <w:pPr>
        <w:pStyle w:val="ListBullet"/>
      </w:pPr>
      <w:r>
        <w:t>Persistence semantics separated from persistence implementation.</w:t>
      </w:r>
    </w:p>
    <w:p>
      <w:pPr>
        <w:pStyle w:val="ListBullet"/>
      </w:pPr>
      <w:r>
        <w:t>Architecture, business and engineering responsibilities formally separated in CDS-001 v1.2.</w:t>
      </w:r>
    </w:p>
    <w:p>
      <w:pPr>
        <w:pStyle w:val="ListBullet"/>
      </w:pPr>
      <w:r>
        <w:t>CDD is now an implementation work order only.</w:t>
      </w:r>
    </w:p>
    <w:p>
      <w:pPr>
        <w:pStyle w:val="Heading1"/>
      </w:pPr>
      <w:r>
        <w:t>4. Implementation Objective</w:t>
      </w:r>
    </w:p>
    <w:p>
      <w:r>
        <w:t>Implement the Enterprise Entity Resolution capability and persist Enterprise Entity Resolution Records according to ERM-001 v2.0. Do not modify CEO, EAD, Logical Model, Physical Model or ERM-001.</w:t>
      </w:r>
    </w:p>
    <w:p>
      <w:pPr>
        <w:pStyle w:val="Heading1"/>
      </w:pPr>
      <w:r>
        <w:t>5. Scope</w:t>
      </w:r>
    </w:p>
    <w:p>
      <w:pPr>
        <w:pStyle w:val="ListBullet"/>
      </w:pPr>
      <w:r>
        <w:t>Implement: Candidate Discovery</w:t>
      </w:r>
    </w:p>
    <w:p>
      <w:pPr>
        <w:pStyle w:val="ListBullet"/>
      </w:pPr>
      <w:r>
        <w:t>Implement: Candidate Evaluation</w:t>
      </w:r>
    </w:p>
    <w:p>
      <w:pPr>
        <w:pStyle w:val="ListBullet"/>
      </w:pPr>
      <w:r>
        <w:t>Implement: Enterprise Entity Resolution</w:t>
      </w:r>
    </w:p>
    <w:p>
      <w:pPr>
        <w:pStyle w:val="ListBullet"/>
      </w:pPr>
      <w:r>
        <w:t>Implement: Business Confidence classification</w:t>
      </w:r>
    </w:p>
    <w:p>
      <w:pPr>
        <w:pStyle w:val="ListBullet"/>
      </w:pPr>
      <w:r>
        <w:t>Implement: Resolution explanation</w:t>
      </w:r>
    </w:p>
    <w:p>
      <w:pPr>
        <w:pStyle w:val="ListBullet"/>
      </w:pPr>
      <w:r>
        <w:t>Implement: Persistence of Enterprise Entity Resolution Records</w:t>
      </w:r>
    </w:p>
    <w:p>
      <w:pPr>
        <w:pStyle w:val="ListBullet"/>
      </w:pPr>
      <w:r>
        <w:t>Exclude: Semantic Resolution</w:t>
      </w:r>
    </w:p>
    <w:p>
      <w:pPr>
        <w:pStyle w:val="ListBullet"/>
      </w:pPr>
      <w:r>
        <w:t>Exclude: Assertions</w:t>
      </w:r>
    </w:p>
    <w:p>
      <w:pPr>
        <w:pStyle w:val="ListBullet"/>
      </w:pPr>
      <w:r>
        <w:t>Exclude: Knowledge</w:t>
      </w:r>
    </w:p>
    <w:p>
      <w:pPr>
        <w:pStyle w:val="ListBullet"/>
      </w:pPr>
      <w:r>
        <w:t>Exclude: Governance</w:t>
      </w:r>
    </w:p>
    <w:p>
      <w:pPr>
        <w:pStyle w:val="ListBullet"/>
      </w:pPr>
      <w:r>
        <w:t>Exclude: CEO changes</w:t>
      </w:r>
    </w:p>
    <w:p>
      <w:pPr>
        <w:pStyle w:val="Heading1"/>
      </w:pPr>
      <w:r>
        <w:t>6. Engineering Authority</w:t>
      </w:r>
    </w:p>
    <w:p>
      <w:r>
        <w:t>Engineering may choose project structure, repositories, internal models, persistence schema, APIs, algorithms, dependency injection, configuration, logging, caching and testing, provided business semantics remain unchanged.</w:t>
      </w:r>
    </w:p>
    <w:p>
      <w:pPr>
        <w:pStyle w:val="Heading1"/>
      </w:pPr>
      <w:r>
        <w:t>7. Persistence Requirements</w:t>
      </w:r>
    </w:p>
    <w:p>
      <w:r>
        <w:t>Persist Enterprise Entity Resolution Records in accordance with ERM-001 business definitions. Engineering determines physical schema and repositories. Records must support immutability, archival, traceability and policy version storage.</w:t>
      </w:r>
    </w:p>
    <w:p>
      <w:pPr>
        <w:pStyle w:val="Heading1"/>
      </w:pPr>
      <w:r>
        <w:t>8. Testing</w:t>
      </w:r>
    </w:p>
    <w:p>
      <w:pPr>
        <w:pStyle w:val="ListBullet"/>
      </w:pPr>
      <w:r>
        <w:t>Exact/possible/unresolved flows</w:t>
      </w:r>
    </w:p>
    <w:p>
      <w:pPr>
        <w:pStyle w:val="ListBullet"/>
      </w:pPr>
      <w:r>
        <w:t>Immutability</w:t>
      </w:r>
    </w:p>
    <w:p>
      <w:pPr>
        <w:pStyle w:val="ListBullet"/>
      </w:pPr>
      <w:r>
        <w:t>Archive behavior</w:t>
      </w:r>
    </w:p>
    <w:p>
      <w:pPr>
        <w:pStyle w:val="ListBullet"/>
      </w:pPr>
      <w:r>
        <w:t>Human override</w:t>
      </w:r>
    </w:p>
    <w:p>
      <w:pPr>
        <w:pStyle w:val="ListBullet"/>
      </w:pPr>
      <w:r>
        <w:t>Business confidence mapping</w:t>
      </w:r>
    </w:p>
    <w:p>
      <w:pPr>
        <w:pStyle w:val="ListBullet"/>
      </w:pPr>
      <w:r>
        <w:t>Explainability</w:t>
      </w:r>
    </w:p>
    <w:p>
      <w:pPr>
        <w:pStyle w:val="ListBullet"/>
      </w:pPr>
      <w:r>
        <w:t>Architecture drift</w:t>
      </w:r>
    </w:p>
    <w:p>
      <w:pPr>
        <w:pStyle w:val="Heading1"/>
      </w:pPr>
      <w:r>
        <w:t>9. Deliverables</w:t>
      </w:r>
    </w:p>
    <w:p>
      <w:pPr>
        <w:pStyle w:val="ListBullet"/>
      </w:pPr>
      <w:r>
        <w:t>Repository tree</w:t>
      </w:r>
    </w:p>
    <w:p>
      <w:pPr>
        <w:pStyle w:val="ListBullet"/>
      </w:pPr>
      <w:r>
        <w:t>Architecture &amp; sequence diagrams</w:t>
      </w:r>
    </w:p>
    <w:p>
      <w:pPr>
        <w:pStyle w:val="ListBullet"/>
      </w:pPr>
      <w:r>
        <w:t>DESIGN.md</w:t>
      </w:r>
    </w:p>
    <w:p>
      <w:pPr>
        <w:pStyle w:val="ListBullet"/>
      </w:pPr>
      <w:r>
        <w:t>REVIEW.md</w:t>
      </w:r>
    </w:p>
    <w:p>
      <w:pPr>
        <w:pStyle w:val="ListBullet"/>
      </w:pPr>
      <w:r>
        <w:t>Unit/Integration tests</w:t>
      </w:r>
    </w:p>
    <w:p>
      <w:pPr>
        <w:pStyle w:val="ListBullet"/>
      </w:pPr>
      <w:r>
        <w:t>Files changed</w:t>
      </w:r>
    </w:p>
    <w:p>
      <w:pPr>
        <w:pStyle w:val="Heading1"/>
      </w:pPr>
      <w:r>
        <w:t>10. Architecture Validation</w:t>
      </w:r>
    </w:p>
    <w:p>
      <w:r>
        <w:t>☐ No EAH violation</w:t>
      </w:r>
    </w:p>
    <w:p>
      <w:r>
        <w:t>☐ No RFC violation</w:t>
      </w:r>
    </w:p>
    <w:p>
      <w:r>
        <w:t>☐ No CEO modification</w:t>
      </w:r>
    </w:p>
    <w:p>
      <w:r>
        <w:t>☐ No EAD modification</w:t>
      </w:r>
    </w:p>
    <w:p>
      <w:r>
        <w:t>☐ No ERM modification</w:t>
      </w:r>
    </w:p>
    <w:p>
      <w:r>
        <w:t>☐ No unauthorized business concepts</w:t>
      </w:r>
    </w:p>
    <w:p>
      <w:pPr>
        <w:pStyle w:val="Heading1"/>
      </w:pPr>
      <w:r>
        <w:t>11. Startup Principles</w:t>
      </w:r>
    </w:p>
    <w:p>
      <w:pPr>
        <w:pStyle w:val="ListBullet"/>
      </w:pPr>
      <w:r>
        <w:t>Prefer simplicity over flexibility.</w:t>
      </w:r>
    </w:p>
    <w:p>
      <w:pPr>
        <w:pStyle w:val="ListBullet"/>
      </w:pPr>
      <w:r>
        <w:t>Prefer working software over abstraction.</w:t>
      </w:r>
    </w:p>
    <w:p>
      <w:pPr>
        <w:pStyle w:val="ListBullet"/>
      </w:pPr>
      <w:r>
        <w:t>Do not build infrastructure until required.</w:t>
      </w:r>
    </w:p>
    <w:p>
      <w:pPr>
        <w:pStyle w:val="ListBullet"/>
      </w:pPr>
      <w:r>
        <w:t>Escalate architectural ambiguity instead of guessing.</w:t>
      </w:r>
    </w:p>
    <w:p>
      <w:pPr>
        <w:pStyle w:val="Heading1"/>
      </w:pPr>
      <w:r>
        <w:t>12. Success Criteria</w:t>
      </w:r>
    </w:p>
    <w:p>
      <w:r>
        <w:t>Enterprise Entity Resolution is implemented, conforms to ERM-001 v2.0, passes architecture validation, and introduces no architecture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