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CVR-001 — Supplier-Risk Canonical Vocabulary Clarification</w:t>
      </w:r>
    </w:p>
    <w:p>
      <w:r>
        <w:t>Version: 1.0 RELEASE CANDIDATE</w:t>
      </w:r>
    </w:p>
    <w:p>
      <w:r>
        <w:t>Status: RELEASE CANDIDATE — NOT AUTHORITATIVE</w:t>
      </w:r>
    </w:p>
    <w:p>
      <w:pPr>
        <w:pStyle w:val="Heading2"/>
        <w:keepNext/>
      </w:pPr>
      <w:r>
        <w:t>Inspection result</w:t>
      </w:r>
    </w:p>
    <w:p>
      <w:r>
        <w:t>The approved Logical Model, Physical Model, EAD traceability material, domain foundation, Registry, and released architecture define the structures Relationship Type and Institutional Concept but contain no exact frozen value-level identifier or definition for an active supplier-risk condition. Dataset values and test strings are non-authoritative and were not reused.</w:t>
      </w:r>
    </w:p>
    <w:p>
      <w:pPr>
        <w:pStyle w:val="Heading2"/>
        <w:keepNext/>
      </w:pPr>
      <w:r>
        <w:t>Amendment record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Governing artifacts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RFC-010; CDD-003 Revision 2; Logical Model v1.3; Physical Model v1.3; EAD-001 v1.3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Exact section affected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Canonical vocabulary values only; no schema/entity/attribute/relationship-structure change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Change type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Normative addition of two minimum governed vocabulary values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Downstream dependency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SRM-001, ASM-001, RFC-014, CIM-001, future CDD-011</w:t>
            </w:r>
          </w:p>
        </w:tc>
      </w:tr>
    </w:tbl>
    <w:p>
      <w:pPr>
        <w:pStyle w:val="Heading2"/>
        <w:keepNext/>
      </w:pPr>
      <w:r>
        <w:t>Proposed Institutional Concept value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Property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Proposed value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Stable vocabulary identifier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SUPPLIER_RISK_CONDITION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Canonical name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Supplier Risk Condition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Definition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governed concept representing a condition that may expose a supplier's ability to satisfy an enterprise obligation to risk. Activity and effective time are established by an Assertion, not embedded as mutable concept state.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Provenance requirement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Must trace to a resolved semantic interpretation and governed SourceObservations.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Usage constraint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May be used only as the object concept of a governed risk-condition assertion. It does not itself establish risk, severity, sourcing status, or recommendation.</w:t>
            </w:r>
          </w:p>
        </w:tc>
      </w:tr>
    </w:tbl>
    <w:p>
      <w:pPr>
        <w:pStyle w:val="Heading2"/>
        <w:keepNext/>
      </w:pPr>
      <w:r>
        <w:t>Proposed Relationship Type value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Property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Proposed value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Stable vocabulary identifier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HAS_ACTIVE_RISK_CONDITION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Canonical name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Has Active Risk Condition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Definition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Relates an identified supplier Enterprise Entity to the Supplier Risk Condition Institutional Concept when governed evidence establishes that the condition is active at the Assertion's effective time.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Directionality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Supplier Enterprise Entity → Supplier Risk Condition Institutional Concept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Domain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Enterprise Entity resolved and classified as a supplier under governed enterprise vocabulary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Range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Institutional Concept SUPPLIER_RISK_CONDITION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Provenance requirement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Minimum one current governed ERM record, one current governed SRM record, and the SourceObservations supporting the effective-time condition.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Usage constraints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Relational Assertion use only; never inferred directly from a CSV field; missing/conflicting evidence yields pre-ASM INDETERMINATE; never represents supplier approval, qualification, eligibility, capacity, or sourcing recommendation.</w:t>
            </w:r>
          </w:p>
        </w:tc>
      </w:tr>
    </w:tbl>
    <w:p>
      <w:pPr>
        <w:pStyle w:val="Heading2"/>
        <w:keepNext/>
      </w:pPr>
      <w:r>
        <w:t>Current authoritative language</w:t>
      </w:r>
    </w:p>
    <w:p>
      <w:r>
        <w:t>Logical Model v1.3 states that relational Assertions use relationship_type_id as the governed verb and that the object uses Institutional Concept. It defines their structures but no supplier-risk-specific values.</w:t>
      </w:r>
    </w:p>
    <w:p>
      <w:pPr>
        <w:pStyle w:val="Heading2"/>
        <w:keepNext/>
      </w:pPr>
      <w:r>
        <w:t>Proposed additive language</w:t>
      </w:r>
    </w:p>
    <w:p>
      <w:r>
        <w:t>Register the two values above within the existing enterprise-owned canonical vocabularies. Do not add tables, columns, entities, attributes, relationship structures, or implementation technology.</w:t>
      </w:r>
    </w:p>
    <w:p>
      <w:pPr>
        <w:pStyle w:val="Heading2"/>
        <w:keepNext/>
      </w:pPr>
      <w:r>
        <w:t>Reason and compatibility</w:t>
      </w:r>
    </w:p>
    <w:p>
      <w:r>
        <w:t>The bounded proposition cannot be constructed with exact governed vocabulary today. The addition is schema-compatible and does not alter existing values. Semantic compatibility is additive but normative because it creates canonical vocabulary values.</w:t>
      </w:r>
    </w:p>
    <w:p>
      <w:pPr>
        <w:pStyle w:val="Heading2"/>
        <w:keepNext/>
      </w:pPr>
      <w:r>
        <w:t>Governance actions</w:t>
      </w:r>
    </w:p>
    <w:p>
      <w:r>
        <w:t>Approval requires the authority that owns the relevant Enterprise vocabulary, stable UUID assignment under the governed vocabulary process, EAD/value-catalog traceability if required, Registry/dependency updates, checksums/manifest regeneration, and consistency/drift/readiness approval. Do not use the symbolic identifiers as database UUIDs.</w:t>
      </w:r>
    </w:p>
    <w:p>
      <w:pPr>
        <w:pStyle w:val="Heading2"/>
        <w:keepNext/>
      </w:pPr>
      <w:r>
        <w:t>Validation and rollback</w:t>
      </w:r>
    </w:p>
    <w:p>
      <w:r>
        <w:t>Validate uniqueness, enterprise ownership, exact directionality/domain/range, absence of approximate duplicates, and ASM/SRM compatibility. Rollback prohibits new use and supersedes the vocabulary values under canonical governance; existing immutable references must remain historically resolvable and must not be deleted.</w:t>
      </w:r>
    </w:p>
    <w:p>
      <w:r>
        <w:br w:type="page"/>
      </w:r>
    </w:p>
    <w:p>
      <w:pPr>
        <w:pStyle w:val="Heading1"/>
      </w:pPr>
      <w:r>
        <w:t>Authoritative UUID and Ownership Assignment</w:t>
      </w:r>
    </w:p>
    <w:p>
      <w:r>
        <w:t>Version: 1.0</w:t>
      </w:r>
    </w:p>
    <w:p>
      <w:r>
        <w:t>Status: FROZEN upon Registry publication</w:t>
      </w:r>
    </w:p>
    <w:p>
      <w:pPr>
        <w:pStyle w:val="Heading2"/>
      </w:pPr>
      <w:r>
        <w:t>Decision</w:t>
      </w:r>
    </w:p>
    <w:p>
      <w:r>
        <w:t>The existing ECOM Platform Enterprise, identifier 00000000-0000-0000-0000-000000000004, is the accountable owner of exactly these canonical vocabulary values:</w:t>
      </w:r>
    </w:p>
    <w:p>
      <w:pPr>
        <w:pStyle w:val="ListBullet"/>
      </w:pPr>
      <w:r>
        <w:t>SUPPLIER_RISK_CONDITION — cdbb90c4-6518-59cd-aa13-989d2717a256</w:t>
      </w:r>
    </w:p>
    <w:p>
      <w:pPr>
        <w:pStyle w:val="ListBullet"/>
      </w:pPr>
      <w:r>
        <w:t>HAS_ACTIVE_RISK_CONDITION — de39e820-d95c-51ce-9cd3-da98cb072a36</w:t>
      </w:r>
    </w:p>
    <w:p>
      <w:r>
        <w:t>This is a narrow qualification of the implementation-support limitation attached to the ECOM Platform Enterprise. It authorizes stewardship, lifecycle management, referential integrity, and governance only for vocabulary introduced by RFC-014/CIM-001 for the supplier-risk vertical slice.</w:t>
      </w:r>
    </w:p>
    <w:p>
      <w:r>
        <w:t>It does not grant unrestricted enterprise-semantic authority, authorize unrelated vocabulary, create a new Enterprise or organization, or modify canonical schema.</w:t>
      </w:r>
    </w:p>
    <w:p>
      <w:pPr>
        <w:pStyle w:val="Heading2"/>
      </w:pPr>
      <w:r>
        <w:t>Deterministic identifiers</w:t>
      </w:r>
    </w:p>
    <w:p>
      <w:r>
        <w:t>Identifiers use RFC 4122 UUIDv5 with namespace 00000000-0000-0000-0000-000000000008 and UTF-8 name {category}:{value}:</w:t>
      </w:r>
    </w:p>
    <w:p>
      <w:r>
        <w:t>The UUIDs are unique, deterministic, and immutable upon publication. Regeneration with the same namespace and exact names must produce the same values. Random replacement and reassignment are prohibited.</w:t>
      </w:r>
    </w:p>
    <w:p>
      <w:pPr>
        <w:pStyle w:val="Heading2"/>
      </w:pPr>
      <w:r>
        <w:t>Boundary</w:t>
      </w:r>
    </w:p>
    <w:p>
      <w:r>
        <w:t>This decision changes no entity, attribute, relationship structure, persistence model, API, or implementation. Any new vocabulary value requires separate governance.</w:t>
      </w:r>
    </w:p>
    <w:p>
      <w:pPr>
        <w:pStyle w:val="Heading2"/>
      </w:pPr>
      <w:r>
        <w:t>Traceability</w:t>
      </w:r>
    </w:p>
    <w:p>
      <w:r>
        <w:t>ARCH-004; RFC-010; CDD-003 Revision 2; CVR-001 v1.0; RFC-014 v1.1; CIM-001 v1.1.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5A5A"/>
        <w:sz w:val="16"/>
      </w:rPr>
      <w:t>Governance review copy — authority is assigned only by architecture/INDEX.md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color w:val="5A5A5A"/>
        <w:sz w:val="16"/>
      </w:rPr>
      <w:t>CTEC Architecture | CVR-001 v1.0 | RELEASE CANDIDATE — NOT AUTHORITATIVE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