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Private Equity Valuation Model - Test Strategy Document</w:t>
      </w:r>
    </w:p>
    <w:p>
      <w:r>
        <w:t>This test strategy document defines the overall testing approach, objectives, scope, methodology, environments, deliverables, and governance model for regression testing of a Private Equity valuation platform supporting DCF and Trading Multiples methodologies.</w:t>
      </w:r>
    </w:p>
    <w:p>
      <w:pPr>
        <w:pStyle w:val="Heading2"/>
      </w:pPr>
      <w:r>
        <w:t>1. Project Overview</w:t>
      </w:r>
    </w:p>
    <w:p>
      <w:r>
        <w:t>The Private Equity valuation platform supports valuation activities using Discounted Cash Flow (DCF) and Trading Multiples methodologies. The platform integrates with external market data providers such as Bloomberg / Capital IQ / Refinitiv and Data Warehouse / SQL systems. The application follows a hybrid architecture involving web applications, APIs, databases, and Excel integrations.</w:t>
      </w:r>
    </w:p>
    <w:p>
      <w:pPr>
        <w:pStyle w:val="Heading2"/>
      </w:pPr>
      <w:r>
        <w:t>2. Testing Objectives</w:t>
      </w:r>
    </w:p>
    <w:p>
      <w:r>
        <w:t>- Validate financial formula accuracy and recalculation logic.</w:t>
        <w:br/>
        <w:t>- Ensure regression stability across valuation workflows.</w:t>
        <w:br/>
        <w:t>- Validate integration with market data and SQL warehouse systems.</w:t>
        <w:br/>
        <w:t>- Ensure end-to-end valuation processing remains intact after enhancements.</w:t>
        <w:br/>
        <w:t>- Minimize production defects impacting valuation outputs and investor reporting.</w:t>
      </w:r>
    </w:p>
    <w:p>
      <w:pPr>
        <w:pStyle w:val="Heading2"/>
      </w:pPr>
      <w:r>
        <w:t>3. In Scope</w:t>
      </w:r>
    </w:p>
    <w:p>
      <w:r>
        <w:t>- DCF valuation calculations</w:t>
        <w:br/>
        <w:t>- Trading multiples calculations</w:t>
        <w:br/>
        <w:t>- Financial assumptions and sensitivity calculations</w:t>
        <w:br/>
        <w:t>- Data ingestion from Bloomberg / Capital IQ / Refinitiv</w:t>
        <w:br/>
        <w:t>- SQL warehouse integration validation</w:t>
        <w:br/>
        <w:t>- End-to-end valuation workflow regression</w:t>
        <w:br/>
        <w:t>- Excel integration validation</w:t>
        <w:br/>
        <w:t>- User interface and reporting validations</w:t>
      </w:r>
    </w:p>
    <w:p>
      <w:pPr>
        <w:pStyle w:val="Heading2"/>
      </w:pPr>
      <w:r>
        <w:t>4. Out of Scope</w:t>
      </w:r>
    </w:p>
    <w:p>
      <w:r>
        <w:t>- Infrastructure penetration testing</w:t>
        <w:br/>
        <w:t>- Third-party vendor platform certification</w:t>
        <w:br/>
        <w:t>- Non-related accounting modules</w:t>
        <w:br/>
        <w:t>- Mobile application testing</w:t>
      </w:r>
    </w:p>
    <w:p>
      <w:pPr>
        <w:pStyle w:val="Heading2"/>
      </w:pPr>
      <w:r>
        <w:t>5. Test Types</w:t>
      </w:r>
    </w:p>
    <w:p>
      <w:r>
        <w:t>- Functional Regression Testing</w:t>
        <w:br/>
        <w:t>- Financial Calculation Validation</w:t>
        <w:br/>
        <w:t>- End-to-End Workflow Testing</w:t>
        <w:br/>
        <w:t>- Integration Testing</w:t>
        <w:br/>
        <w:t>- Smoke Testing</w:t>
        <w:br/>
        <w:t>- User Acceptance Support Testing</w:t>
        <w:br/>
        <w:t>- Data Reconciliation Testing</w:t>
      </w:r>
    </w:p>
    <w:p>
      <w:pPr>
        <w:pStyle w:val="Heading2"/>
      </w:pPr>
      <w:r>
        <w:t>6. Test Approach</w:t>
      </w:r>
    </w:p>
    <w:p>
      <w:r>
        <w:t>A risk-based regression strategy will be adopted focusing on high-impact financial calculations and critical valuation workflows. Automated regression packs will be executed for stable workflows while complex financial validations will undergo manual review. Parallel validation against benchmark Excel models will be performed for formula accuracy.</w:t>
      </w:r>
    </w:p>
    <w:p>
      <w:pPr>
        <w:pStyle w:val="Heading2"/>
      </w:pPr>
      <w:r>
        <w:t>7. Test Environment</w:t>
      </w:r>
    </w:p>
    <w:p>
      <w:r>
        <w:t>- Web application environment</w:t>
        <w:br/>
        <w:t>- SQL database environment</w:t>
        <w:br/>
        <w:t>- API integration services</w:t>
        <w:br/>
        <w:t>- Excel integrated valuation templates</w:t>
        <w:br/>
        <w:t>- Test market data feeds</w:t>
      </w:r>
    </w:p>
    <w:p>
      <w:pPr>
        <w:pStyle w:val="Heading2"/>
      </w:pPr>
      <w:r>
        <w:t>8. Entry Criteria</w:t>
      </w:r>
    </w:p>
    <w:p>
      <w:r>
        <w:t>- Requirements and functional specifications approved</w:t>
        <w:br/>
        <w:t>- Stable QA environment available</w:t>
        <w:br/>
        <w:t>- Test data prepared</w:t>
        <w:br/>
        <w:t>- Regression test suite approved</w:t>
        <w:br/>
        <w:t>- Build deployment completed successfully</w:t>
      </w:r>
    </w:p>
    <w:p>
      <w:pPr>
        <w:pStyle w:val="Heading2"/>
      </w:pPr>
      <w:r>
        <w:t>9. Exit Criteria</w:t>
      </w:r>
    </w:p>
    <w:p>
      <w:r>
        <w:t>- All critical and high severity defects closed</w:t>
        <w:br/>
        <w:t>- Regression pass rate &gt;= 95%</w:t>
        <w:br/>
        <w:t>- No financial calculation discrepancies remaining</w:t>
        <w:br/>
        <w:t>- Stakeholder sign-off completed</w:t>
      </w:r>
    </w:p>
    <w:p>
      <w:pPr>
        <w:pStyle w:val="Heading2"/>
      </w:pPr>
      <w:r>
        <w:t>10. Risk Areas</w:t>
      </w:r>
    </w:p>
    <w:p>
      <w:r>
        <w:t>- Incorrect DCF discount factor calculations</w:t>
        <w:br/>
        <w:t>- Trading multiple mapping failures</w:t>
        <w:br/>
        <w:t>- Market data synchronization issues</w:t>
        <w:br/>
        <w:t>- API latency impacting recalculation</w:t>
        <w:br/>
        <w:t>- Excel formula inconsistency with application logic</w:t>
      </w:r>
    </w:p>
    <w:p>
      <w:pPr>
        <w:pStyle w:val="Heading2"/>
      </w:pPr>
      <w:r>
        <w:t>11. Deliverables</w:t>
      </w:r>
    </w:p>
    <w:p>
      <w:r>
        <w:t>- Test Strategy Document</w:t>
        <w:br/>
        <w:t>- Regression Test Scenarios</w:t>
        <w:br/>
        <w:t>- Test Execution Reports</w:t>
        <w:br/>
        <w:t>- Defect Summary Reports</w:t>
        <w:br/>
        <w:t>- Financial Reconciliation Reports</w:t>
        <w:br/>
        <w:t>- Sign-off Documentation</w:t>
      </w:r>
    </w:p>
    <w:p>
      <w:pPr>
        <w:pStyle w:val="Heading2"/>
      </w:pPr>
      <w:r>
        <w:t>12. Test Governance</w:t>
      </w:r>
    </w:p>
    <w:p>
      <w:r>
        <w:t>Daily defect triage meetings, weekly stakeholder reporting, regression execution tracking, and financial reconciliation reviews will be conducted throughout the testing lifecycle.</w:t>
      </w:r>
    </w:p>
    <w:p>
      <w:pPr>
        <w:pStyle w:val="Heading2"/>
      </w:pPr>
      <w:r>
        <w:t>13. User Inputs Captured</w:t>
      </w:r>
    </w:p>
    <w:p>
      <w:r>
        <w:t>• Valuation Methods: DCF and Trading Multiples</w:t>
        <w:br/>
        <w:t>• Testing Purpose: Regression Testing for Existing Models</w:t>
        <w:br/>
        <w:t>• Data Sources: Bloomberg / Capital IQ / Refinitiv and SQL/Data Warehouse</w:t>
        <w:br/>
        <w:t>• Architecture: Hybrid Architecture (Web + Database + APIs + Excel Integration)</w:t>
        <w:br/>
        <w:t>• Critical Scope: Financial Formula Accuracy and End-to-End Regression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