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TradeEvidence Engineering Book</w:t>
      </w:r>
    </w:p>
    <w:p>
      <w:pPr>
        <w:jc w:val="center"/>
      </w:pPr>
      <w:r>
        <w:rPr>
          <w:b/>
        </w:rPr>
        <w:t>Version 1.0</w:t>
        <w:br/>
      </w:r>
      <w:r>
        <w:t>Architecture, Engineering, and Decision Intelligence Platform Design</w:t>
      </w:r>
    </w:p>
    <w:p>
      <w:pPr>
        <w:pStyle w:val="Heading1"/>
      </w:pPr>
      <w:r>
        <w:t>Purpose</w:t>
      </w:r>
    </w:p>
    <w:p>
      <w:r>
        <w:rPr>
          <w:sz w:val="22"/>
        </w:rPr>
        <w:t>This living engineering book is the authoritative narrative of the TradeEvidence platform. It captures the vision, architectural decisions, governance, engineering standards, and evolution of the product. Unlike individual specifications, this document explains both what was decided and why.</w:t>
      </w:r>
    </w:p>
    <w:p>
      <w:pPr>
        <w:pStyle w:val="Heading1"/>
      </w:pPr>
      <w:r>
        <w:t>How to Use This Book</w:t>
      </w:r>
    </w:p>
    <w:p>
      <w:r>
        <w:rPr>
          <w:sz w:val="22"/>
        </w:rPr>
        <w:t>The book is intended for architects, engineers, AI collaborators, testers, product managers, and future contributors. It is version controlled and updated as each architecture workshop is completed.</w:t>
      </w:r>
    </w:p>
    <w:p>
      <w:pPr>
        <w:pStyle w:val="Heading1"/>
      </w:pPr>
      <w:r>
        <w:t>Part I – Vision</w:t>
      </w:r>
    </w:p>
    <w:p>
      <w:pPr>
        <w:pStyle w:val="Heading2"/>
      </w:pPr>
      <w:r>
        <w:t>Chapter 1 – Product Vision</w:t>
      </w:r>
    </w:p>
    <w:p>
      <w:r>
        <w:rPr>
          <w:sz w:val="22"/>
        </w:rPr>
        <w:t>TradeEvidence is a Decision Intelligence Platform whose mission is to help investors build Earned Confidence through evidence, disciplined evaluation, explainable reasoning, journaling, and continuous learning.</w:t>
      </w:r>
    </w:p>
    <w:p>
      <w:pPr>
        <w:pStyle w:val="Heading2"/>
      </w:pPr>
      <w:r>
        <w:t>Chapter 2 – Earned Confidence</w:t>
      </w:r>
    </w:p>
    <w:p>
      <w:r>
        <w:rPr>
          <w:sz w:val="22"/>
        </w:rPr>
        <w:t>The platform does not attempt to predict markets. It helps users consistently make higher-quality decisions by combining market evidence, context, structured workflows, and post-decision learning.</w:t>
      </w:r>
    </w:p>
    <w:p>
      <w:pPr>
        <w:pStyle w:val="Heading2"/>
      </w:pPr>
      <w:r>
        <w:t>Chapter 3 – Decision Intelligence Platform</w:t>
      </w:r>
    </w:p>
    <w:p>
      <w:r>
        <w:rPr>
          <w:sz w:val="22"/>
        </w:rPr>
        <w:t>TradeEvidence is not merely a screener, scanner, or charting application. It integrates market intelligence, evidence, AI guidance, and learning into a unified decision-support platform.</w:t>
      </w:r>
    </w:p>
    <w:p>
      <w:pPr>
        <w:pStyle w:val="Heading1"/>
      </w:pPr>
      <w:r>
        <w:t>Part II – Product</w:t>
      </w:r>
    </w:p>
    <w:p>
      <w:pPr>
        <w:pStyle w:val="Heading2"/>
      </w:pPr>
      <w:r>
        <w:t>Current Product Capabilities</w:t>
      </w:r>
    </w:p>
    <w:p>
      <w:r>
        <w:rPr>
          <w:sz w:val="22"/>
        </w:rPr>
        <w:t>Dashboard, Decision Workspace, AI Coach, Journal, Portfolio, Watchlists, Reports, Alerts, Market Context, Sector Intelligence, Opportunity Analysis, Learning.</w:t>
      </w:r>
    </w:p>
    <w:p>
      <w:pPr>
        <w:pStyle w:val="Heading1"/>
      </w:pPr>
      <w:r>
        <w:t>Part III – Governance</w:t>
      </w:r>
    </w:p>
    <w:p>
      <w:r>
        <w:rPr>
          <w:sz w:val="22"/>
        </w:rPr>
        <w:t>Established governance includes Source of Truth, Product Decision Log, Engineering Specification Index, ADR process, AI Development Lifecycle (AI-DLC), workshop methodology, documentation hierarchy, and repository standards.</w:t>
      </w:r>
    </w:p>
    <w:p>
      <w:pPr>
        <w:pStyle w:val="Heading1"/>
      </w:pPr>
      <w:r>
        <w:t>Part IV – Architecture</w:t>
      </w:r>
    </w:p>
    <w:p>
      <w:pPr>
        <w:pStyle w:val="Heading2"/>
      </w:pPr>
      <w:r>
        <w:t>Architecture Workshop #1 (Completed)</w:t>
      </w:r>
    </w:p>
    <w:p>
      <w:r>
        <w:rPr>
          <w:sz w:val="22"/>
        </w:rPr>
        <w:t>Workshop #1 established the Master System Architecture, layered architecture, specialized analytical engines, platform services, provider abstraction, Canonical Analytical Model, and architectural decision record ADR-002.</w:t>
      </w:r>
    </w:p>
    <w:p>
      <w:pPr>
        <w:pStyle w:val="Heading2"/>
      </w:pPr>
      <w:r>
        <w:t>Layered Architecture</w:t>
      </w:r>
    </w:p>
    <w:p>
      <w:r>
        <w:rPr>
          <w:sz w:val="22"/>
        </w:rPr>
        <w:t>Presentation Layer → Application Layer → Analytical Engines → Platform Services → Data Layer → Provider Layer.</w:t>
      </w:r>
    </w:p>
    <w:p>
      <w:pPr>
        <w:pStyle w:val="Heading2"/>
      </w:pPr>
      <w:r>
        <w:t>Analytical Engines</w:t>
      </w:r>
    </w:p>
    <w:p>
      <w:r>
        <w:rPr>
          <w:sz w:val="22"/>
        </w:rPr>
        <w:t>- Market Context Engine</w:t>
        <w:br/>
        <w:t>- Market Statistics Engine</w:t>
        <w:br/>
        <w:t>- Opportunity Engine</w:t>
        <w:br/>
        <w:t>- Setup Detection Engine</w:t>
        <w:br/>
        <w:t>- Sector Intelligence Engine</w:t>
        <w:br/>
        <w:t>- Evidence Engine</w:t>
        <w:br/>
        <w:t>- Decision Confidence Engine</w:t>
      </w:r>
    </w:p>
    <w:p>
      <w:pPr>
        <w:pStyle w:val="Heading2"/>
      </w:pPr>
      <w:r>
        <w:t>Platform Services</w:t>
      </w:r>
    </w:p>
    <w:p>
      <w:r>
        <w:rPr>
          <w:sz w:val="22"/>
        </w:rPr>
        <w:t>Market Data Service, AI Orchestration, Alert Service, Portfolio Service, Watchlist Service, Authentication, Evidence Snapshot Service.</w:t>
      </w:r>
    </w:p>
    <w:p>
      <w:pPr>
        <w:pStyle w:val="Heading2"/>
      </w:pPr>
      <w:r>
        <w:t>Canonical Analytical Model</w:t>
      </w:r>
    </w:p>
    <w:p>
      <w:r>
        <w:rPr>
          <w:sz w:val="22"/>
        </w:rPr>
        <w:t>A shared symbol-centric analytical representation powers dashboards, AI Coach, alerts, market context, sector intelligence, reports, and future capabilities. Phase 1 populates it from CSV; Phase 2 computes it internally from market data while preserving stable internal contracts.</w:t>
      </w:r>
    </w:p>
    <w:p>
      <w:pPr>
        <w:pStyle w:val="Heading2"/>
      </w:pPr>
      <w:r>
        <w:t>Architecture Principles</w:t>
      </w:r>
    </w:p>
    <w:p>
      <w:r>
        <w:rPr>
          <w:sz w:val="22"/>
        </w:rPr>
        <w:t>Decision-centered design, Explainability, Separation of Concerns, Provider Independence, AI assists but never replaces business logic, Immutable historical snapshots, Shared analytical model.</w:t>
      </w:r>
    </w:p>
    <w:p>
      <w:pPr>
        <w:pStyle w:val="Heading1"/>
      </w:pPr>
      <w:r>
        <w:t>Part V – Engineering Roadmap</w:t>
      </w:r>
    </w:p>
    <w:p>
      <w:r>
        <w:rPr>
          <w:sz w:val="22"/>
        </w:rPr>
        <w:t>Future architecture workshops will define the Domain Intelligence Model, Persistence Architecture, API Architecture, Frontend Architecture, Backend Architecture, AI Architecture, Alert &amp; Automation Architecture, Security, and Deployment.</w:t>
      </w:r>
    </w:p>
    <w:p>
      <w:pPr>
        <w:pStyle w:val="Heading1"/>
      </w:pPr>
      <w:r>
        <w:t>Part VI – Decisions and Standards</w:t>
      </w:r>
    </w:p>
    <w:p>
      <w:r>
        <w:rPr>
          <w:sz w:val="22"/>
        </w:rPr>
        <w:t>This edition references the Product Decision Log, ADRs, Canonical Terminology, Source of Truth, and Engineering Specifications as the authoritative sources for detailed decisions.</w:t>
      </w:r>
    </w:p>
    <w:p>
      <w:pPr>
        <w:pStyle w:val="Heading1"/>
      </w:pPr>
      <w:r>
        <w:t>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Status</w:t>
            </w:r>
          </w:p>
        </w:tc>
        <w:tc>
          <w:tcPr>
            <w:tcW w:type="dxa" w:w="2880"/>
          </w:tcPr>
          <w:p>
            <w:r>
              <w:t>Summary</w:t>
            </w:r>
          </w:p>
        </w:tc>
      </w:tr>
      <w:tr>
        <w:tc>
          <w:tcPr>
            <w:tcW w:type="dxa" w:w="2880"/>
          </w:tcPr>
          <w:p>
            <w:r>
              <w:t>1.0</w:t>
            </w:r>
          </w:p>
        </w:tc>
        <w:tc>
          <w:tcPr>
            <w:tcW w:type="dxa" w:w="2880"/>
          </w:tcPr>
          <w:p>
            <w:r>
              <w:t>Released</w:t>
            </w:r>
          </w:p>
        </w:tc>
        <w:tc>
          <w:tcPr>
            <w:tcW w:type="dxa" w:w="2880"/>
          </w:tcPr>
          <w:p>
            <w:r>
              <w:t>Governance foundation and Architecture Workshop #1 complete.</w:t>
            </w:r>
          </w:p>
        </w:tc>
      </w:tr>
    </w:tbl>
    <w:p>
      <w:pPr>
        <w:pStyle w:val="Heading1"/>
      </w:pPr>
      <w:r>
        <w:t>Future Editions</w:t>
      </w:r>
    </w:p>
    <w:p>
      <w:r>
        <w:rPr>
          <w:sz w:val="22"/>
        </w:rPr>
        <w:t>Version 1.1 will incorporate Architecture Workshop #2 (Domain Intelligence &amp; Analytical Model). Each future workshop will extend this book instead of creating disconnected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