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00"/>
      </w:pPr>
      <w:r>
        <w:rPr>
          <w:rFonts w:ascii="Calibri" w:hAnsi="Calibri"/>
          <w:b/>
          <w:color w:val="17365D"/>
          <w:sz w:val="54"/>
        </w:rPr>
        <w:t>Founder Data Practice Run</w:t>
      </w:r>
    </w:p>
    <w:p>
      <w:pPr>
        <w:spacing w:after="360"/>
      </w:pPr>
      <w:r>
        <w:rPr>
          <w:rFonts w:ascii="Calibri" w:hAnsi="Calibri"/>
          <w:b w:val="0"/>
          <w:color w:val="2E74B5"/>
          <w:sz w:val="26"/>
        </w:rPr>
        <w:t>Thinkorswim exports, read-only IBKR acquisition, and Candidate 2 report generation</w:t>
      </w:r>
    </w:p>
    <w:p>
      <w:pPr>
        <w:spacing w:before="60" w:after="180"/>
        <w:ind w:left="173" w:right="173"/>
        <w:shd w:fill="E7F4EA"/>
      </w:pPr>
      <w:r>
        <w:rPr>
          <w:rFonts w:ascii="Calibri" w:hAnsi="Calibri"/>
          <w:b/>
          <w:color w:val="17365D"/>
          <w:sz w:val="22"/>
        </w:rPr>
        <w:t xml:space="preserve">Purpose  </w:t>
      </w:r>
      <w:r>
        <w:rPr>
          <w:rFonts w:ascii="Calibri" w:hAnsi="Calibri"/>
          <w:b w:val="0"/>
          <w:color w:val="17365D"/>
          <w:sz w:val="22"/>
        </w:rPr>
        <w:t>Use this short runbook to practice the complete local data workflow. Replace 2026-09-01 with the completed market date for a future run.</w:t>
      </w:r>
    </w:p>
    <w:p>
      <w:pPr>
        <w:pStyle w:val="Heading1"/>
      </w:pPr>
      <w:r>
        <w:t>1. Before you begin</w:t>
      </w:r>
    </w:p>
    <w:p>
      <w:pPr>
        <w:pStyle w:val="ListBullet"/>
        <w:spacing w:after="80" w:line="300" w:lineRule="auto"/>
        <w:ind w:left="540" w:hanging="271"/>
      </w:pPr>
      <w:r>
        <w:rPr>
          <w:rFonts w:ascii="Calibri" w:hAnsi="Calibri"/>
          <w:b w:val="0"/>
          <w:color w:val="000000"/>
          <w:sz w:val="22"/>
        </w:rPr>
        <w:t>Wait until the regular U.S. market session has completed.</w:t>
      </w:r>
    </w:p>
    <w:p>
      <w:pPr>
        <w:pStyle w:val="ListBullet"/>
        <w:spacing w:after="80" w:line="300" w:lineRule="auto"/>
        <w:ind w:left="540" w:hanging="271"/>
      </w:pPr>
      <w:r>
        <w:rPr>
          <w:rFonts w:ascii="Calibri" w:hAnsi="Calibri"/>
          <w:b w:val="0"/>
          <w:color w:val="000000"/>
          <w:sz w:val="22"/>
        </w:rPr>
        <w:t>Open Trader Workstation and sign in.</w:t>
      </w:r>
    </w:p>
    <w:p>
      <w:pPr>
        <w:pStyle w:val="ListBullet"/>
        <w:spacing w:after="80" w:line="300" w:lineRule="auto"/>
        <w:ind w:left="540" w:hanging="271"/>
      </w:pPr>
      <w:r>
        <w:rPr>
          <w:rFonts w:ascii="Calibri" w:hAnsi="Calibri"/>
          <w:b w:val="0"/>
          <w:color w:val="000000"/>
          <w:sz w:val="22"/>
        </w:rPr>
        <w:t>Confirm API socket access is enabled, Read-Only API remains enabled, and the live TWS port is 7496.</w:t>
      </w:r>
    </w:p>
    <w:p>
      <w:pPr>
        <w:pStyle w:val="ListBullet"/>
        <w:spacing w:after="80" w:line="300" w:lineRule="auto"/>
        <w:ind w:left="540" w:hanging="271"/>
      </w:pPr>
      <w:r>
        <w:rPr>
          <w:rFonts w:ascii="Calibri" w:hAnsi="Calibri"/>
          <w:b w:val="0"/>
          <w:color w:val="000000"/>
          <w:sz w:val="22"/>
        </w:rPr>
        <w:t>Never place passwords, account numbers, holdings, or order information in CSV files or commands.</w:t>
      </w:r>
    </w:p>
    <w:p>
      <w:pPr>
        <w:pStyle w:val="Heading1"/>
      </w:pPr>
      <w:r>
        <w:t>2. Export two Thinkorswim files</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val="true"/>
        </w:trPr>
        <w:tc>
          <w:tcPr>
            <w:tcW w:type="dxa" w:w="3100"/>
            <w:shd w:fill="E8EEF5"/>
            <w:tcMar>
              <w:top w:w="80" w:type="dxa"/>
              <w:start w:w="120" w:type="dxa"/>
              <w:bottom w:w="80" w:type="dxa"/>
              <w:end w:w="120" w:type="dxa"/>
            </w:tcMar>
            <w:vAlign w:val="center"/>
          </w:tcPr>
          <w:p>
            <w:pPr>
              <w:spacing w:after="0"/>
            </w:pPr>
            <w:r>
              <w:rPr>
                <w:rFonts w:ascii="Calibri" w:hAnsi="Calibri"/>
                <w:b/>
                <w:color w:val="17365D"/>
                <w:sz w:val="20"/>
              </w:rPr>
              <w:t>Export</w:t>
            </w:r>
          </w:p>
        </w:tc>
        <w:tc>
          <w:tcPr>
            <w:tcW w:type="dxa" w:w="6260"/>
            <w:shd w:fill="E8EEF5"/>
            <w:tcMar>
              <w:top w:w="80" w:type="dxa"/>
              <w:start w:w="120" w:type="dxa"/>
              <w:bottom w:w="80" w:type="dxa"/>
              <w:end w:w="120" w:type="dxa"/>
            </w:tcMar>
            <w:vAlign w:val="center"/>
          </w:tcPr>
          <w:p>
            <w:pPr>
              <w:spacing w:after="0"/>
            </w:pPr>
            <w:r>
              <w:rPr>
                <w:rFonts w:ascii="Calibri" w:hAnsi="Calibri"/>
                <w:b/>
                <w:color w:val="17365D"/>
                <w:sz w:val="20"/>
              </w:rPr>
              <w:t>Required filename</w:t>
            </w:r>
          </w:p>
        </w:tc>
      </w:tr>
      <w:tr>
        <w:tc>
          <w:tcPr>
            <w:tcW w:type="dxa" w:w="3100"/>
            <w:tcMar>
              <w:top w:w="80" w:type="dxa"/>
              <w:start w:w="120" w:type="dxa"/>
              <w:bottom w:w="80" w:type="dxa"/>
              <w:end w:w="120" w:type="dxa"/>
            </w:tcMar>
            <w:vAlign w:val="center"/>
          </w:tcPr>
          <w:p>
            <w:pPr>
              <w:spacing w:after="0"/>
            </w:pPr>
            <w:r>
              <w:rPr>
                <w:rFonts w:ascii="Calibri" w:hAnsi="Calibri"/>
                <w:b w:val="0"/>
                <w:color w:val="000000"/>
                <w:sz w:val="19"/>
              </w:rPr>
              <w:t>Variable stock universe</w:t>
            </w:r>
          </w:p>
        </w:tc>
        <w:tc>
          <w:tcPr>
            <w:tcW w:type="dxa" w:w="6260"/>
            <w:tcMar>
              <w:top w:w="80" w:type="dxa"/>
              <w:start w:w="120" w:type="dxa"/>
              <w:bottom w:w="80" w:type="dxa"/>
              <w:end w:w="120" w:type="dxa"/>
            </w:tcMar>
            <w:vAlign w:val="center"/>
          </w:tcPr>
          <w:p>
            <w:pPr>
              <w:spacing w:after="0"/>
            </w:pPr>
            <w:r>
              <w:rPr>
                <w:rFonts w:ascii="Calibri" w:hAnsi="Calibri"/>
                <w:b w:val="0"/>
                <w:color w:val="000000"/>
                <w:sz w:val="19"/>
              </w:rPr>
              <w:t>YYYY-MM-DD-symbol-evidence.csv</w:t>
            </w:r>
          </w:p>
        </w:tc>
      </w:tr>
      <w:tr>
        <w:tc>
          <w:tcPr>
            <w:tcW w:type="dxa" w:w="3100"/>
            <w:tcMar>
              <w:top w:w="80" w:type="dxa"/>
              <w:start w:w="120" w:type="dxa"/>
              <w:bottom w:w="80" w:type="dxa"/>
              <w:end w:w="120" w:type="dxa"/>
            </w:tcMar>
            <w:vAlign w:val="center"/>
          </w:tcPr>
          <w:p>
            <w:pPr>
              <w:spacing w:after="0"/>
            </w:pPr>
            <w:r>
              <w:rPr>
                <w:rFonts w:ascii="Calibri" w:hAnsi="Calibri"/>
                <w:b w:val="0"/>
                <w:color w:val="000000"/>
                <w:sz w:val="19"/>
              </w:rPr>
              <w:t>Market and sector snapshot</w:t>
            </w:r>
          </w:p>
        </w:tc>
        <w:tc>
          <w:tcPr>
            <w:tcW w:type="dxa" w:w="6260"/>
            <w:tcMar>
              <w:top w:w="80" w:type="dxa"/>
              <w:start w:w="120" w:type="dxa"/>
              <w:bottom w:w="80" w:type="dxa"/>
              <w:end w:w="120" w:type="dxa"/>
            </w:tcMar>
            <w:vAlign w:val="center"/>
          </w:tcPr>
          <w:p>
            <w:pPr>
              <w:spacing w:after="0"/>
            </w:pPr>
            <w:r>
              <w:rPr>
                <w:rFonts w:ascii="Calibri" w:hAnsi="Calibri"/>
                <w:b w:val="0"/>
                <w:color w:val="000000"/>
                <w:sz w:val="19"/>
              </w:rPr>
              <w:t>YYYY-MM-DD-context-snapshots.csv</w:t>
            </w:r>
          </w:p>
        </w:tc>
      </w:tr>
    </w:tbl>
    <w:p>
      <w:pPr>
        <w:spacing w:after="0"/>
      </w:pPr>
    </w:p>
    <w:p>
      <w:pPr>
        <w:spacing w:after="120" w:line="300" w:lineRule="auto"/>
      </w:pPr>
      <w:r>
        <w:rPr>
          <w:rFonts w:ascii="Calibri" w:hAnsi="Calibri"/>
          <w:b w:val="0"/>
          <w:color w:val="000000"/>
          <w:sz w:val="22"/>
        </w:rPr>
        <w:t>Place both files in analytics-engine\input\YYYY-MM-DD\. The stock count is variable; do not add the count to the filename. The context source must contain SPY, QQQ, IWM, and the 11 approved sector ETFs. Extra symbols such as DIA may remain but are outside the approved context calculation.</w:t>
      </w:r>
    </w:p>
    <w:p>
      <w:pPr>
        <w:pStyle w:val="Heading1"/>
      </w:pPr>
      <w:r>
        <w:t>3. Open PowerShell</w:t>
      </w:r>
    </w:p>
    <w:p>
      <w:pPr>
        <w:spacing w:after="160" w:line="259" w:lineRule="auto"/>
        <w:ind w:left="288" w:right="288"/>
        <w:shd w:fill="F2F4F7"/>
      </w:pPr>
      <w:r>
        <w:rPr>
          <w:rFonts w:ascii="Consolas" w:hAnsi="Consolas"/>
          <w:b w:val="0"/>
          <w:color w:val="17365D"/>
          <w:sz w:val="18"/>
        </w:rPr>
        <w:t>cd C:\Projects\TradeEvidence\tradeevidence-web\analytics-engine</w:t>
      </w:r>
    </w:p>
    <w:p>
      <w:pPr>
        <w:pStyle w:val="Heading1"/>
      </w:pPr>
      <w:r>
        <w:t>4. Acquire IBKR context history</w:t>
      </w:r>
    </w:p>
    <w:p>
      <w:pPr>
        <w:pStyle w:val="Heading2"/>
      </w:pPr>
      <w:r>
        <w:t>Smoke test SPY</w:t>
      </w:r>
    </w:p>
    <w:p>
      <w:pPr>
        <w:spacing w:after="160" w:line="259" w:lineRule="auto"/>
        <w:ind w:left="288" w:right="288"/>
        <w:shd w:fill="F2F4F7"/>
      </w:pPr>
      <w:r>
        <w:rPr>
          <w:rFonts w:ascii="Consolas" w:hAnsi="Consolas"/>
          <w:b w:val="0"/>
          <w:color w:val="17365D"/>
          <w:sz w:val="18"/>
        </w:rPr>
        <w:t>py fetch_ibkr_history.py --through YYYY-MM-DD --symbols SPY</w:t>
      </w:r>
    </w:p>
    <w:p>
      <w:pPr>
        <w:pStyle w:val="Heading2"/>
      </w:pPr>
      <w:r>
        <w:t>Fetch all 14 context symbols</w:t>
      </w:r>
    </w:p>
    <w:p>
      <w:pPr>
        <w:spacing w:after="160" w:line="259" w:lineRule="auto"/>
        <w:ind w:left="288" w:right="288"/>
        <w:shd w:fill="F2F4F7"/>
      </w:pPr>
      <w:r>
        <w:rPr>
          <w:rFonts w:ascii="Consolas" w:hAnsi="Consolas"/>
          <w:b w:val="0"/>
          <w:color w:val="17365D"/>
          <w:sz w:val="18"/>
        </w:rPr>
        <w:t>py fetch_ibkr_history.py --through YYYY-MM-DD</w:t>
      </w:r>
    </w:p>
    <w:p>
      <w:pPr>
        <w:spacing w:after="120" w:line="300" w:lineRule="auto"/>
      </w:pPr>
      <w:r>
        <w:rPr>
          <w:rFonts w:ascii="Calibri" w:hAnsi="Calibri"/>
          <w:b w:val="0"/>
          <w:color w:val="000000"/>
          <w:sz w:val="22"/>
        </w:rPr>
        <w:t>Expected output: input\YYYY-MM-DD\YYYY-MM-DD-context-daily-history.csv</w:t>
      </w:r>
    </w:p>
    <w:p>
      <w:r>
        <w:br w:type="page"/>
      </w:r>
    </w:p>
    <w:p>
      <w:pPr>
        <w:pStyle w:val="Heading1"/>
      </w:pPr>
      <w:r>
        <w:t>5. Acquire instrument reference data</w:t>
      </w:r>
    </w:p>
    <w:p>
      <w:pPr>
        <w:pStyle w:val="Heading2"/>
      </w:pPr>
      <w:r>
        <w:t>Optional three-symbol smoke test</w:t>
      </w:r>
    </w:p>
    <w:p>
      <w:pPr>
        <w:spacing w:after="160" w:line="259" w:lineRule="auto"/>
        <w:ind w:left="288" w:right="288"/>
        <w:shd w:fill="F2F4F7"/>
      </w:pPr>
      <w:r>
        <w:rPr>
          <w:rFonts w:ascii="Consolas" w:hAnsi="Consolas"/>
          <w:b w:val="0"/>
          <w:color w:val="17365D"/>
          <w:sz w:val="18"/>
        </w:rPr>
        <w:t>py fetch_ibkr_reference.py --symbols-file "input/YYYY-MM-DD/YYYY-MM-DD-symbol-evidence.csv" --market-date YYYY-MM-DD --limit 3 --output-dir input/YYYY-MM-DD/reference-smoke</w:t>
      </w:r>
    </w:p>
    <w:p>
      <w:pPr>
        <w:pStyle w:val="Heading2"/>
      </w:pPr>
      <w:r>
        <w:t>Resolve the complete variable universe</w:t>
      </w:r>
    </w:p>
    <w:p>
      <w:pPr>
        <w:spacing w:after="160" w:line="259" w:lineRule="auto"/>
        <w:ind w:left="288" w:right="288"/>
        <w:shd w:fill="F2F4F7"/>
      </w:pPr>
      <w:r>
        <w:rPr>
          <w:rFonts w:ascii="Consolas" w:hAnsi="Consolas"/>
          <w:b w:val="0"/>
          <w:color w:val="17365D"/>
          <w:sz w:val="18"/>
        </w:rPr>
        <w:t>py fetch_ibkr_reference.py --symbols-file "input/YYYY-MM-DD/YYYY-MM-DD-symbol-evidence.csv" --market-date YYYY-MM-DD</w:t>
      </w:r>
    </w:p>
    <w:p>
      <w:pPr>
        <w:spacing w:after="120" w:line="300" w:lineRule="auto"/>
      </w:pPr>
      <w:r>
        <w:rPr>
          <w:rFonts w:ascii="Calibri" w:hAnsi="Calibri"/>
          <w:b w:val="0"/>
          <w:color w:val="000000"/>
          <w:sz w:val="22"/>
        </w:rPr>
        <w:t>Expected outputs: YYYY-MM-DD-instrument-reference.csv and YYYY-MM-DD-ibkr-reference-discovery.csv. Review every unresolved or ambiguous symbol. Do not invent missing identity or classification values.</w:t>
      </w:r>
    </w:p>
    <w:p>
      <w:pPr>
        <w:pStyle w:val="Heading1"/>
      </w:pPr>
      <w:r>
        <w:t>6. Generate the Candidate 2 report</w:t>
      </w:r>
    </w:p>
    <w:p>
      <w:pPr>
        <w:spacing w:after="160" w:line="259" w:lineRule="auto"/>
        <w:ind w:left="288" w:right="288"/>
        <w:shd w:fill="F2F4F7"/>
      </w:pPr>
      <w:r>
        <w:rPr>
          <w:rFonts w:ascii="Consolas" w:hAnsi="Consolas"/>
          <w:b w:val="0"/>
          <w:color w:val="17365D"/>
          <w:sz w:val="18"/>
        </w:rPr>
        <w:t>py run_evidence_engine_v2.py "input/YYYY-MM-DD/YYYY-MM-DD-symbol-evidence.csv" --market-date YYYY-MM-DD --as-of "YYYY-MM-DDT20:00:00Z" --output-dir "output/YYYY-MM-DD-candidate-2"</w:t>
      </w:r>
    </w:p>
    <w:p>
      <w:pPr>
        <w:spacing w:before="60" w:after="180"/>
        <w:ind w:left="173" w:right="173"/>
        <w:shd w:fill="FFF4CE"/>
      </w:pPr>
      <w:r>
        <w:rPr>
          <w:rFonts w:ascii="Calibri" w:hAnsi="Calibri"/>
          <w:b/>
          <w:color w:val="17365D"/>
          <w:sz w:val="22"/>
        </w:rPr>
        <w:t xml:space="preserve">Time-zone check  </w:t>
      </w:r>
      <w:r>
        <w:rPr>
          <w:rFonts w:ascii="Calibri" w:hAnsi="Calibri"/>
          <w:b w:val="0"/>
          <w:color w:val="17365D"/>
          <w:sz w:val="22"/>
        </w:rPr>
        <w:t>20:00:00Z represents the 4:00 PM New York close only during daylight saving time. Use the correct official-close timestamp for the actual market date.</w:t>
      </w:r>
    </w:p>
    <w:p>
      <w:pPr>
        <w:pStyle w:val="Heading1"/>
      </w:pPr>
      <w:r>
        <w:t>7. Validate the run</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E8EEF5"/>
            <w:tcMar>
              <w:top w:w="80" w:type="dxa"/>
              <w:start w:w="120" w:type="dxa"/>
              <w:bottom w:w="80" w:type="dxa"/>
              <w:end w:w="120" w:type="dxa"/>
            </w:tcMar>
            <w:vAlign w:val="center"/>
          </w:tcPr>
          <w:p>
            <w:pPr>
              <w:spacing w:after="0"/>
            </w:pPr>
            <w:r>
              <w:rPr>
                <w:rFonts w:ascii="Calibri" w:hAnsi="Calibri"/>
                <w:b/>
                <w:color w:val="17365D"/>
                <w:sz w:val="20"/>
              </w:rPr>
              <w:t>Check</w:t>
            </w:r>
          </w:p>
        </w:tc>
        <w:tc>
          <w:tcPr>
            <w:tcW w:type="dxa" w:w="6760"/>
            <w:shd w:fill="E8EEF5"/>
            <w:tcMar>
              <w:top w:w="80" w:type="dxa"/>
              <w:start w:w="120" w:type="dxa"/>
              <w:bottom w:w="80" w:type="dxa"/>
              <w:end w:w="120" w:type="dxa"/>
            </w:tcMar>
            <w:vAlign w:val="center"/>
          </w:tcPr>
          <w:p>
            <w:pPr>
              <w:spacing w:after="0"/>
            </w:pPr>
            <w:r>
              <w:rPr>
                <w:rFonts w:ascii="Calibri" w:hAnsi="Calibri"/>
                <w:b/>
                <w:color w:val="17365D"/>
                <w:sz w:val="20"/>
              </w:rPr>
              <w:t>Pass condition</w:t>
            </w:r>
          </w:p>
        </w:tc>
      </w:tr>
      <w:tr>
        <w:tc>
          <w:tcPr>
            <w:tcW w:type="dxa" w:w="2600"/>
            <w:tcMar>
              <w:top w:w="80" w:type="dxa"/>
              <w:start w:w="120" w:type="dxa"/>
              <w:bottom w:w="80" w:type="dxa"/>
              <w:end w:w="120" w:type="dxa"/>
            </w:tcMar>
            <w:vAlign w:val="center"/>
          </w:tcPr>
          <w:p>
            <w:pPr>
              <w:spacing w:after="0"/>
            </w:pPr>
            <w:r>
              <w:rPr>
                <w:rFonts w:ascii="Calibri" w:hAnsi="Calibri"/>
                <w:b w:val="0"/>
                <w:color w:val="000000"/>
                <w:sz w:val="19"/>
              </w:rPr>
              <w:t>Symbol evidence</w:t>
            </w:r>
          </w:p>
        </w:tc>
        <w:tc>
          <w:tcPr>
            <w:tcW w:type="dxa" w:w="6760"/>
            <w:tcMar>
              <w:top w:w="80" w:type="dxa"/>
              <w:start w:w="120" w:type="dxa"/>
              <w:bottom w:w="80" w:type="dxa"/>
              <w:end w:w="120" w:type="dxa"/>
            </w:tcMar>
            <w:vAlign w:val="center"/>
          </w:tcPr>
          <w:p>
            <w:pPr>
              <w:spacing w:after="0"/>
            </w:pPr>
            <w:r>
              <w:rPr>
                <w:rFonts w:ascii="Calibri" w:hAnsi="Calibri"/>
                <w:b w:val="0"/>
                <w:color w:val="000000"/>
                <w:sz w:val="19"/>
              </w:rPr>
              <w:t>Row count equals unique symbol count; no blank or duplicate symbols</w:t>
            </w:r>
          </w:p>
        </w:tc>
      </w:tr>
      <w:tr>
        <w:tc>
          <w:tcPr>
            <w:tcW w:type="dxa" w:w="2600"/>
            <w:tcMar>
              <w:top w:w="80" w:type="dxa"/>
              <w:start w:w="120" w:type="dxa"/>
              <w:bottom w:w="80" w:type="dxa"/>
              <w:end w:w="120" w:type="dxa"/>
            </w:tcMar>
            <w:vAlign w:val="center"/>
          </w:tcPr>
          <w:p>
            <w:pPr>
              <w:spacing w:after="0"/>
            </w:pPr>
            <w:r>
              <w:rPr>
                <w:rFonts w:ascii="Calibri" w:hAnsi="Calibri"/>
                <w:b w:val="0"/>
                <w:color w:val="000000"/>
                <w:sz w:val="19"/>
              </w:rPr>
              <w:t>Context snapshot</w:t>
            </w:r>
          </w:p>
        </w:tc>
        <w:tc>
          <w:tcPr>
            <w:tcW w:type="dxa" w:w="6760"/>
            <w:tcMar>
              <w:top w:w="80" w:type="dxa"/>
              <w:start w:w="120" w:type="dxa"/>
              <w:bottom w:w="80" w:type="dxa"/>
              <w:end w:w="120" w:type="dxa"/>
            </w:tcMar>
            <w:vAlign w:val="center"/>
          </w:tcPr>
          <w:p>
            <w:pPr>
              <w:spacing w:after="0"/>
            </w:pPr>
            <w:r>
              <w:rPr>
                <w:rFonts w:ascii="Calibri" w:hAnsi="Calibri"/>
                <w:b w:val="0"/>
                <w:color w:val="000000"/>
                <w:sz w:val="19"/>
              </w:rPr>
              <w:t>All 14 approved symbols present; extras reported</w:t>
            </w:r>
          </w:p>
        </w:tc>
      </w:tr>
      <w:tr>
        <w:tc>
          <w:tcPr>
            <w:tcW w:type="dxa" w:w="2600"/>
            <w:tcMar>
              <w:top w:w="80" w:type="dxa"/>
              <w:start w:w="120" w:type="dxa"/>
              <w:bottom w:w="80" w:type="dxa"/>
              <w:end w:w="120" w:type="dxa"/>
            </w:tcMar>
            <w:vAlign w:val="center"/>
          </w:tcPr>
          <w:p>
            <w:pPr>
              <w:spacing w:after="0"/>
            </w:pPr>
            <w:r>
              <w:rPr>
                <w:rFonts w:ascii="Calibri" w:hAnsi="Calibri"/>
                <w:b w:val="0"/>
                <w:color w:val="000000"/>
                <w:sz w:val="19"/>
              </w:rPr>
              <w:t>Context history</w:t>
            </w:r>
          </w:p>
        </w:tc>
        <w:tc>
          <w:tcPr>
            <w:tcW w:type="dxa" w:w="6760"/>
            <w:tcMar>
              <w:top w:w="80" w:type="dxa"/>
              <w:start w:w="120" w:type="dxa"/>
              <w:bottom w:w="80" w:type="dxa"/>
              <w:end w:w="120" w:type="dxa"/>
            </w:tcMar>
            <w:vAlign w:val="center"/>
          </w:tcPr>
          <w:p>
            <w:pPr>
              <w:spacing w:after="0"/>
            </w:pPr>
            <w:r>
              <w:rPr>
                <w:rFonts w:ascii="Calibri" w:hAnsi="Calibri"/>
                <w:b w:val="0"/>
                <w:color w:val="000000"/>
                <w:sz w:val="19"/>
              </w:rPr>
              <w:t>Every approved symbol ends on the completed market date; no duplicate Symbol + Date</w:t>
            </w:r>
          </w:p>
        </w:tc>
      </w:tr>
      <w:tr>
        <w:tc>
          <w:tcPr>
            <w:tcW w:type="dxa" w:w="2600"/>
            <w:tcMar>
              <w:top w:w="80" w:type="dxa"/>
              <w:start w:w="120" w:type="dxa"/>
              <w:bottom w:w="80" w:type="dxa"/>
              <w:end w:w="120" w:type="dxa"/>
            </w:tcMar>
            <w:vAlign w:val="center"/>
          </w:tcPr>
          <w:p>
            <w:pPr>
              <w:spacing w:after="0"/>
            </w:pPr>
            <w:r>
              <w:rPr>
                <w:rFonts w:ascii="Calibri" w:hAnsi="Calibri"/>
                <w:b w:val="0"/>
                <w:color w:val="000000"/>
                <w:sz w:val="19"/>
              </w:rPr>
              <w:t>Instrument reference</w:t>
            </w:r>
          </w:p>
        </w:tc>
        <w:tc>
          <w:tcPr>
            <w:tcW w:type="dxa" w:w="6760"/>
            <w:tcMar>
              <w:top w:w="80" w:type="dxa"/>
              <w:start w:w="120" w:type="dxa"/>
              <w:bottom w:w="80" w:type="dxa"/>
              <w:end w:w="120" w:type="dxa"/>
            </w:tcMar>
            <w:vAlign w:val="center"/>
          </w:tcPr>
          <w:p>
            <w:pPr>
              <w:spacing w:after="0"/>
            </w:pPr>
            <w:r>
              <w:rPr>
                <w:rFonts w:ascii="Calibri" w:hAnsi="Calibri"/>
                <w:b w:val="0"/>
                <w:color w:val="000000"/>
                <w:sz w:val="19"/>
              </w:rPr>
              <w:t>Every symbol has a row; unresolved values remain explicit</w:t>
            </w:r>
          </w:p>
        </w:tc>
      </w:tr>
      <w:tr>
        <w:tc>
          <w:tcPr>
            <w:tcW w:type="dxa" w:w="2600"/>
            <w:tcMar>
              <w:top w:w="80" w:type="dxa"/>
              <w:start w:w="120" w:type="dxa"/>
              <w:bottom w:w="80" w:type="dxa"/>
              <w:end w:w="120" w:type="dxa"/>
            </w:tcMar>
            <w:vAlign w:val="center"/>
          </w:tcPr>
          <w:p>
            <w:pPr>
              <w:spacing w:after="0"/>
            </w:pPr>
            <w:r>
              <w:rPr>
                <w:rFonts w:ascii="Calibri" w:hAnsi="Calibri"/>
                <w:b w:val="0"/>
                <w:color w:val="000000"/>
                <w:sz w:val="19"/>
              </w:rPr>
              <w:t>Candidate 2</w:t>
            </w:r>
          </w:p>
        </w:tc>
        <w:tc>
          <w:tcPr>
            <w:tcW w:type="dxa" w:w="6760"/>
            <w:tcMar>
              <w:top w:w="80" w:type="dxa"/>
              <w:start w:w="120" w:type="dxa"/>
              <w:bottom w:w="80" w:type="dxa"/>
              <w:end w:w="120" w:type="dxa"/>
            </w:tcMar>
            <w:vAlign w:val="center"/>
          </w:tcPr>
          <w:p>
            <w:pPr>
              <w:spacing w:after="0"/>
            </w:pPr>
            <w:r>
              <w:rPr>
                <w:rFonts w:ascii="Calibri" w:hAnsi="Calibri"/>
                <w:b w:val="0"/>
                <w:color w:val="000000"/>
                <w:sz w:val="19"/>
              </w:rPr>
              <w:t>Rows evaluated equals the imported unique-symbol count</w:t>
            </w:r>
          </w:p>
        </w:tc>
      </w:tr>
      <w:tr>
        <w:tc>
          <w:tcPr>
            <w:tcW w:type="dxa" w:w="2600"/>
            <w:tcMar>
              <w:top w:w="80" w:type="dxa"/>
              <w:start w:w="120" w:type="dxa"/>
              <w:bottom w:w="80" w:type="dxa"/>
              <w:end w:w="120" w:type="dxa"/>
            </w:tcMar>
            <w:vAlign w:val="center"/>
          </w:tcPr>
          <w:p>
            <w:pPr>
              <w:spacing w:after="0"/>
            </w:pPr>
            <w:r>
              <w:rPr>
                <w:rFonts w:ascii="Calibri" w:hAnsi="Calibri"/>
                <w:b w:val="0"/>
                <w:color w:val="000000"/>
                <w:sz w:val="19"/>
              </w:rPr>
              <w:t>Git safety</w:t>
            </w:r>
          </w:p>
        </w:tc>
        <w:tc>
          <w:tcPr>
            <w:tcW w:type="dxa" w:w="6760"/>
            <w:tcMar>
              <w:top w:w="80" w:type="dxa"/>
              <w:start w:w="120" w:type="dxa"/>
              <w:bottom w:w="80" w:type="dxa"/>
              <w:end w:w="120" w:type="dxa"/>
            </w:tcMar>
            <w:vAlign w:val="center"/>
          </w:tcPr>
          <w:p>
            <w:pPr>
              <w:spacing w:after="0"/>
            </w:pPr>
            <w:r>
              <w:rPr>
                <w:rFonts w:ascii="Calibri" w:hAnsi="Calibri"/>
                <w:b w:val="0"/>
                <w:color w:val="000000"/>
                <w:sz w:val="19"/>
              </w:rPr>
              <w:t>Local input and output CSV/HTML/JSON files are not staged or committed</w:t>
            </w:r>
          </w:p>
        </w:tc>
      </w:tr>
    </w:tbl>
    <w:p>
      <w:pPr>
        <w:spacing w:after="0"/>
      </w:pPr>
    </w:p>
    <w:p>
      <w:pPr>
        <w:pStyle w:val="Heading1"/>
      </w:pPr>
      <w:r>
        <w:t>8. What the run does not do</w:t>
      </w:r>
    </w:p>
    <w:p>
      <w:pPr>
        <w:pStyle w:val="ListBullet"/>
        <w:spacing w:after="80" w:line="300" w:lineRule="auto"/>
        <w:ind w:left="540" w:hanging="271"/>
      </w:pPr>
      <w:r>
        <w:rPr>
          <w:rFonts w:ascii="Calibri" w:hAnsi="Calibri"/>
          <w:b w:val="0"/>
          <w:color w:val="000000"/>
          <w:sz w:val="22"/>
        </w:rPr>
        <w:t>It does not access balances, portfolios, positions, executions, transactions, or orders.</w:t>
      </w:r>
    </w:p>
    <w:p>
      <w:pPr>
        <w:pStyle w:val="ListBullet"/>
        <w:spacing w:after="80" w:line="300" w:lineRule="auto"/>
        <w:ind w:left="540" w:hanging="271"/>
      </w:pPr>
      <w:r>
        <w:rPr>
          <w:rFonts w:ascii="Calibri" w:hAnsi="Calibri"/>
          <w:b w:val="0"/>
          <w:color w:val="000000"/>
          <w:sz w:val="22"/>
        </w:rPr>
        <w:t>It does not make Candidate 2 predictive or historically validated.</w:t>
      </w:r>
    </w:p>
    <w:p>
      <w:pPr>
        <w:pStyle w:val="ListBullet"/>
        <w:spacing w:after="80" w:line="300" w:lineRule="auto"/>
        <w:ind w:left="540" w:hanging="271"/>
      </w:pPr>
      <w:r>
        <w:rPr>
          <w:rFonts w:ascii="Calibri" w:hAnsi="Calibri"/>
          <w:b w:val="0"/>
          <w:color w:val="000000"/>
          <w:sz w:val="22"/>
        </w:rPr>
        <w:t>It does not yet calculate final sector-normalized context or change Candidate 2 classifications.</w:t>
      </w:r>
    </w:p>
    <w:p>
      <w:pPr>
        <w:pStyle w:val="ListBullet"/>
        <w:spacing w:after="80" w:line="300" w:lineRule="auto"/>
        <w:ind w:left="540" w:hanging="271"/>
      </w:pPr>
      <w:r>
        <w:rPr>
          <w:rFonts w:ascii="Calibri" w:hAnsi="Calibri"/>
          <w:b w:val="0"/>
          <w:color w:val="000000"/>
          <w:sz w:val="22"/>
        </w:rPr>
        <w:t>It does not provide financial advice or replace the trader's judgment.</w:t>
      </w:r>
    </w:p>
    <w:p>
      <w:r>
        <w:br w:type="page"/>
      </w:r>
    </w:p>
    <w:p>
      <w:pPr>
        <w:pStyle w:val="Heading1"/>
      </w:pPr>
      <w:r>
        <w:t>9. Quick troubleshooting</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E8EEF5"/>
            <w:tcMar>
              <w:top w:w="80" w:type="dxa"/>
              <w:start w:w="120" w:type="dxa"/>
              <w:bottom w:w="80" w:type="dxa"/>
              <w:end w:w="120" w:type="dxa"/>
            </w:tcMar>
            <w:vAlign w:val="center"/>
          </w:tcPr>
          <w:p>
            <w:pPr>
              <w:spacing w:after="0"/>
            </w:pPr>
            <w:r>
              <w:rPr>
                <w:rFonts w:ascii="Calibri" w:hAnsi="Calibri"/>
                <w:b/>
                <w:color w:val="17365D"/>
                <w:sz w:val="20"/>
              </w:rPr>
              <w:t>Problem</w:t>
            </w:r>
          </w:p>
        </w:tc>
        <w:tc>
          <w:tcPr>
            <w:tcW w:type="dxa" w:w="6760"/>
            <w:shd w:fill="E8EEF5"/>
            <w:tcMar>
              <w:top w:w="80" w:type="dxa"/>
              <w:start w:w="120" w:type="dxa"/>
              <w:bottom w:w="80" w:type="dxa"/>
              <w:end w:w="120" w:type="dxa"/>
            </w:tcMar>
            <w:vAlign w:val="center"/>
          </w:tcPr>
          <w:p>
            <w:pPr>
              <w:spacing w:after="0"/>
            </w:pPr>
            <w:r>
              <w:rPr>
                <w:rFonts w:ascii="Calibri" w:hAnsi="Calibri"/>
                <w:b/>
                <w:color w:val="17365D"/>
                <w:sz w:val="20"/>
              </w:rPr>
              <w:t>What to check</w:t>
            </w:r>
          </w:p>
        </w:tc>
      </w:tr>
      <w:tr>
        <w:tc>
          <w:tcPr>
            <w:tcW w:type="dxa" w:w="2600"/>
            <w:tcMar>
              <w:top w:w="80" w:type="dxa"/>
              <w:start w:w="120" w:type="dxa"/>
              <w:bottom w:w="80" w:type="dxa"/>
              <w:end w:w="120" w:type="dxa"/>
            </w:tcMar>
            <w:vAlign w:val="center"/>
          </w:tcPr>
          <w:p>
            <w:pPr>
              <w:spacing w:after="0"/>
            </w:pPr>
            <w:r>
              <w:rPr>
                <w:rFonts w:ascii="Calibri" w:hAnsi="Calibri"/>
                <w:b w:val="0"/>
                <w:color w:val="000000"/>
                <w:sz w:val="19"/>
              </w:rPr>
              <w:t>Connection timeout</w:t>
            </w:r>
          </w:p>
        </w:tc>
        <w:tc>
          <w:tcPr>
            <w:tcW w:type="dxa" w:w="6760"/>
            <w:tcMar>
              <w:top w:w="80" w:type="dxa"/>
              <w:start w:w="120" w:type="dxa"/>
              <w:bottom w:w="80" w:type="dxa"/>
              <w:end w:w="120" w:type="dxa"/>
            </w:tcMar>
            <w:vAlign w:val="center"/>
          </w:tcPr>
          <w:p>
            <w:pPr>
              <w:spacing w:after="0"/>
            </w:pPr>
            <w:r>
              <w:rPr>
                <w:rFonts w:ascii="Calibri" w:hAnsi="Calibri"/>
                <w:b w:val="0"/>
                <w:color w:val="000000"/>
                <w:sz w:val="19"/>
              </w:rPr>
              <w:t>TWS open and logged in; API enabled; 127.0.0.1; port 7496</w:t>
            </w:r>
          </w:p>
        </w:tc>
      </w:tr>
      <w:tr>
        <w:tc>
          <w:tcPr>
            <w:tcW w:type="dxa" w:w="2600"/>
            <w:tcMar>
              <w:top w:w="80" w:type="dxa"/>
              <w:start w:w="120" w:type="dxa"/>
              <w:bottom w:w="80" w:type="dxa"/>
              <w:end w:w="120" w:type="dxa"/>
            </w:tcMar>
            <w:vAlign w:val="center"/>
          </w:tcPr>
          <w:p>
            <w:pPr>
              <w:spacing w:after="0"/>
            </w:pPr>
            <w:r>
              <w:rPr>
                <w:rFonts w:ascii="Calibri" w:hAnsi="Calibri"/>
                <w:b w:val="0"/>
                <w:color w:val="000000"/>
                <w:sz w:val="19"/>
              </w:rPr>
              <w:t>IBKR error 200</w:t>
            </w:r>
          </w:p>
        </w:tc>
        <w:tc>
          <w:tcPr>
            <w:tcW w:type="dxa" w:w="6760"/>
            <w:tcMar>
              <w:top w:w="80" w:type="dxa"/>
              <w:start w:w="120" w:type="dxa"/>
              <w:bottom w:w="80" w:type="dxa"/>
              <w:end w:w="120" w:type="dxa"/>
            </w:tcMar>
            <w:vAlign w:val="center"/>
          </w:tcPr>
          <w:p>
            <w:pPr>
              <w:spacing w:after="0"/>
            </w:pPr>
            <w:r>
              <w:rPr>
                <w:rFonts w:ascii="Calibri" w:hAnsi="Calibri"/>
                <w:b w:val="0"/>
                <w:color w:val="000000"/>
                <w:sz w:val="19"/>
              </w:rPr>
              <w:t>Symbol identity, share class, listing availability; leave unresolved if no unique contract exists</w:t>
            </w:r>
          </w:p>
        </w:tc>
      </w:tr>
      <w:tr>
        <w:tc>
          <w:tcPr>
            <w:tcW w:type="dxa" w:w="2600"/>
            <w:tcMar>
              <w:top w:w="80" w:type="dxa"/>
              <w:start w:w="120" w:type="dxa"/>
              <w:bottom w:w="80" w:type="dxa"/>
              <w:end w:w="120" w:type="dxa"/>
            </w:tcMar>
            <w:vAlign w:val="center"/>
          </w:tcPr>
          <w:p>
            <w:pPr>
              <w:spacing w:after="0"/>
            </w:pPr>
            <w:r>
              <w:rPr>
                <w:rFonts w:ascii="Calibri" w:hAnsi="Calibri"/>
                <w:b w:val="0"/>
                <w:color w:val="000000"/>
                <w:sz w:val="19"/>
              </w:rPr>
              <w:t>Market-data permission error</w:t>
            </w:r>
          </w:p>
        </w:tc>
        <w:tc>
          <w:tcPr>
            <w:tcW w:type="dxa" w:w="6760"/>
            <w:tcMar>
              <w:top w:w="80" w:type="dxa"/>
              <w:start w:w="120" w:type="dxa"/>
              <w:bottom w:w="80" w:type="dxa"/>
              <w:end w:w="120" w:type="dxa"/>
            </w:tcMar>
            <w:vAlign w:val="center"/>
          </w:tcPr>
          <w:p>
            <w:pPr>
              <w:spacing w:after="0"/>
            </w:pPr>
            <w:r>
              <w:rPr>
                <w:rFonts w:ascii="Calibri" w:hAnsi="Calibri"/>
                <w:b w:val="0"/>
                <w:color w:val="000000"/>
                <w:sz w:val="19"/>
              </w:rPr>
              <w:t>Historical data entitlement and whether the chart is visible in TWS</w:t>
            </w:r>
          </w:p>
        </w:tc>
      </w:tr>
      <w:tr>
        <w:tc>
          <w:tcPr>
            <w:tcW w:type="dxa" w:w="2600"/>
            <w:tcMar>
              <w:top w:w="80" w:type="dxa"/>
              <w:start w:w="120" w:type="dxa"/>
              <w:bottom w:w="80" w:type="dxa"/>
              <w:end w:w="120" w:type="dxa"/>
            </w:tcMar>
            <w:vAlign w:val="center"/>
          </w:tcPr>
          <w:p>
            <w:pPr>
              <w:spacing w:after="0"/>
            </w:pPr>
            <w:r>
              <w:rPr>
                <w:rFonts w:ascii="Calibri" w:hAnsi="Calibri"/>
                <w:b w:val="0"/>
                <w:color w:val="000000"/>
                <w:sz w:val="19"/>
              </w:rPr>
              <w:t>Wrong latest date</w:t>
            </w:r>
          </w:p>
        </w:tc>
        <w:tc>
          <w:tcPr>
            <w:tcW w:type="dxa" w:w="6760"/>
            <w:tcMar>
              <w:top w:w="80" w:type="dxa"/>
              <w:start w:w="120" w:type="dxa"/>
              <w:bottom w:w="80" w:type="dxa"/>
              <w:end w:w="120" w:type="dxa"/>
            </w:tcMar>
            <w:vAlign w:val="center"/>
          </w:tcPr>
          <w:p>
            <w:pPr>
              <w:spacing w:after="0"/>
            </w:pPr>
            <w:r>
              <w:rPr>
                <w:rFonts w:ascii="Calibri" w:hAnsi="Calibri"/>
                <w:b w:val="0"/>
                <w:color w:val="000000"/>
                <w:sz w:val="19"/>
              </w:rPr>
              <w:t>Use the completed trading-session date, not the export date or an incomplete session</w:t>
            </w:r>
          </w:p>
        </w:tc>
      </w:tr>
      <w:tr>
        <w:tc>
          <w:tcPr>
            <w:tcW w:type="dxa" w:w="2600"/>
            <w:tcMar>
              <w:top w:w="80" w:type="dxa"/>
              <w:start w:w="120" w:type="dxa"/>
              <w:bottom w:w="80" w:type="dxa"/>
              <w:end w:w="120" w:type="dxa"/>
            </w:tcMar>
            <w:vAlign w:val="center"/>
          </w:tcPr>
          <w:p>
            <w:pPr>
              <w:spacing w:after="0"/>
            </w:pPr>
            <w:r>
              <w:rPr>
                <w:rFonts w:ascii="Calibri" w:hAnsi="Calibri"/>
                <w:b w:val="0"/>
                <w:color w:val="000000"/>
                <w:sz w:val="19"/>
              </w:rPr>
              <w:t>Permission denied writing output</w:t>
            </w:r>
          </w:p>
        </w:tc>
        <w:tc>
          <w:tcPr>
            <w:tcW w:type="dxa" w:w="6760"/>
            <w:tcMar>
              <w:top w:w="80" w:type="dxa"/>
              <w:start w:w="120" w:type="dxa"/>
              <w:bottom w:w="80" w:type="dxa"/>
              <w:end w:w="120" w:type="dxa"/>
            </w:tcMar>
            <w:vAlign w:val="center"/>
          </w:tcPr>
          <w:p>
            <w:pPr>
              <w:spacing w:after="0"/>
            </w:pPr>
            <w:r>
              <w:rPr>
                <w:rFonts w:ascii="Calibri" w:hAnsi="Calibri"/>
                <w:b w:val="0"/>
                <w:color w:val="000000"/>
                <w:sz w:val="19"/>
              </w:rPr>
              <w:t>Close any program holding the output file; rerun with normal workspace permission</w:t>
            </w:r>
          </w:p>
        </w:tc>
      </w:tr>
      <w:tr>
        <w:tc>
          <w:tcPr>
            <w:tcW w:type="dxa" w:w="2600"/>
            <w:tcMar>
              <w:top w:w="80" w:type="dxa"/>
              <w:start w:w="120" w:type="dxa"/>
              <w:bottom w:w="80" w:type="dxa"/>
              <w:end w:w="120" w:type="dxa"/>
            </w:tcMar>
            <w:vAlign w:val="center"/>
          </w:tcPr>
          <w:p>
            <w:pPr>
              <w:spacing w:after="0"/>
            </w:pPr>
            <w:r>
              <w:rPr>
                <w:rFonts w:ascii="Calibri" w:hAnsi="Calibri"/>
                <w:b w:val="0"/>
                <w:color w:val="000000"/>
                <w:sz w:val="19"/>
              </w:rPr>
              <w:t>Unexpected currency/type</w:t>
            </w:r>
          </w:p>
        </w:tc>
        <w:tc>
          <w:tcPr>
            <w:tcW w:type="dxa" w:w="6760"/>
            <w:tcMar>
              <w:top w:w="80" w:type="dxa"/>
              <w:start w:w="120" w:type="dxa"/>
              <w:bottom w:w="80" w:type="dxa"/>
              <w:end w:w="120" w:type="dxa"/>
            </w:tcMar>
            <w:vAlign w:val="center"/>
          </w:tcPr>
          <w:p>
            <w:pPr>
              <w:spacing w:after="0"/>
            </w:pPr>
            <w:r>
              <w:rPr>
                <w:rFonts w:ascii="Calibri" w:hAnsi="Calibri"/>
                <w:b w:val="0"/>
                <w:color w:val="000000"/>
                <w:sz w:val="19"/>
              </w:rPr>
              <w:t>Stop and review the resolved contract; never silently convert or relabel</w:t>
            </w:r>
          </w:p>
        </w:tc>
      </w:tr>
    </w:tbl>
    <w:p>
      <w:pPr>
        <w:spacing w:after="0"/>
      </w:pPr>
    </w:p>
    <w:p>
      <w:pPr>
        <w:pStyle w:val="Heading1"/>
      </w:pPr>
      <w:r>
        <w:t>10. Practice-run completion checklist</w:t>
      </w:r>
    </w:p>
    <w:p>
      <w:pPr>
        <w:pStyle w:val="ListBullet"/>
        <w:spacing w:after="80" w:line="300" w:lineRule="auto"/>
        <w:ind w:left="540" w:hanging="271"/>
      </w:pPr>
      <w:r>
        <w:rPr>
          <w:rFonts w:ascii="Calibri" w:hAnsi="Calibri"/>
          <w:b w:val="0"/>
          <w:color w:val="000000"/>
          <w:sz w:val="22"/>
        </w:rPr>
        <w:t>[ ] TWS remained read-only.</w:t>
      </w:r>
    </w:p>
    <w:p>
      <w:pPr>
        <w:pStyle w:val="ListBullet"/>
        <w:spacing w:after="80" w:line="300" w:lineRule="auto"/>
        <w:ind w:left="540" w:hanging="271"/>
      </w:pPr>
      <w:r>
        <w:rPr>
          <w:rFonts w:ascii="Calibri" w:hAnsi="Calibri"/>
          <w:b w:val="0"/>
          <w:color w:val="000000"/>
          <w:sz w:val="22"/>
        </w:rPr>
        <w:t>[ ] Both Thinkorswim exports used the same completed market date.</w:t>
      </w:r>
    </w:p>
    <w:p>
      <w:pPr>
        <w:pStyle w:val="ListBullet"/>
        <w:spacing w:after="80" w:line="300" w:lineRule="auto"/>
        <w:ind w:left="540" w:hanging="271"/>
      </w:pPr>
      <w:r>
        <w:rPr>
          <w:rFonts w:ascii="Calibri" w:hAnsi="Calibri"/>
          <w:b w:val="0"/>
          <w:color w:val="000000"/>
          <w:sz w:val="22"/>
        </w:rPr>
        <w:t>[ ] IBKR context history completed and passed date/key checks.</w:t>
      </w:r>
    </w:p>
    <w:p>
      <w:pPr>
        <w:pStyle w:val="ListBullet"/>
        <w:spacing w:after="80" w:line="300" w:lineRule="auto"/>
        <w:ind w:left="540" w:hanging="271"/>
      </w:pPr>
      <w:r>
        <w:rPr>
          <w:rFonts w:ascii="Calibri" w:hAnsi="Calibri"/>
          <w:b w:val="0"/>
          <w:color w:val="000000"/>
          <w:sz w:val="22"/>
        </w:rPr>
        <w:t>[ ] Instrument discovery completed and exceptions were reviewed.</w:t>
      </w:r>
    </w:p>
    <w:p>
      <w:pPr>
        <w:pStyle w:val="ListBullet"/>
        <w:spacing w:after="80" w:line="300" w:lineRule="auto"/>
        <w:ind w:left="540" w:hanging="271"/>
      </w:pPr>
      <w:r>
        <w:rPr>
          <w:rFonts w:ascii="Calibri" w:hAnsi="Calibri"/>
          <w:b w:val="0"/>
          <w:color w:val="000000"/>
          <w:sz w:val="22"/>
        </w:rPr>
        <w:t>[ ] Candidate 2 evaluated the full variable universe.</w:t>
      </w:r>
    </w:p>
    <w:p>
      <w:pPr>
        <w:pStyle w:val="ListBullet"/>
        <w:spacing w:after="80" w:line="300" w:lineRule="auto"/>
        <w:ind w:left="540" w:hanging="271"/>
      </w:pPr>
      <w:r>
        <w:rPr>
          <w:rFonts w:ascii="Calibri" w:hAnsi="Calibri"/>
          <w:b w:val="0"/>
          <w:color w:val="000000"/>
          <w:sz w:val="22"/>
        </w:rPr>
        <w:t>[ ] Reports were reviewed locally.</w:t>
      </w:r>
    </w:p>
    <w:p>
      <w:pPr>
        <w:pStyle w:val="ListBullet"/>
        <w:spacing w:after="80" w:line="300" w:lineRule="auto"/>
        <w:ind w:left="540" w:hanging="271"/>
      </w:pPr>
      <w:r>
        <w:rPr>
          <w:rFonts w:ascii="Calibri" w:hAnsi="Calibri"/>
          <w:b w:val="0"/>
          <w:color w:val="000000"/>
          <w:sz w:val="22"/>
        </w:rPr>
        <w:t>[ ] No local market data or generated reports were committed.</w:t>
      </w:r>
    </w:p>
    <w:p>
      <w:pPr>
        <w:spacing w:before="60" w:after="180"/>
        <w:ind w:left="173" w:right="173"/>
        <w:shd w:fill="E7F4EA"/>
      </w:pPr>
      <w:r>
        <w:rPr>
          <w:rFonts w:ascii="Calibri" w:hAnsi="Calibri"/>
          <w:b/>
          <w:color w:val="17365D"/>
          <w:sz w:val="22"/>
        </w:rPr>
        <w:t xml:space="preserve">Next product step  </w:t>
      </w:r>
      <w:r>
        <w:rPr>
          <w:rFonts w:ascii="Calibri" w:hAnsi="Calibri"/>
          <w:b w:val="0"/>
          <w:color w:val="17365D"/>
          <w:sz w:val="22"/>
        </w:rPr>
        <w:t>Implement reviewed sector normalization, multi-source run metadata, and the provider-independent context adapter. Until then, IBKR context is acquired and validated but does not alter Candidate 2.</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667085"/>
        <w:sz w:val="18"/>
      </w:rPr>
      <w:t>TradeEvidence local operations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667085"/>
        <w:sz w:val="18"/>
      </w:rPr>
      <w:t>TRADEEVIDENCE  |  FOUNDER PRACTICE RUN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TradeEvidence Founder Data Practice Run</dc:title>
  <dc:subject>Simple local operating runbook</dc:subject>
  <dc:creator>TradeEvidence</dc:creator>
  <cp:keywords/>
  <dc:description>generated by python-docx</dc:description>
  <cp:lastModifiedBy/>
  <cp:revision>1</cp:revision>
  <dcterms:created xsi:type="dcterms:W3CDTF">2013-12-23T23:15:00Z</dcterms:created>
  <dcterms:modified xsi:type="dcterms:W3CDTF">2013-12-23T23:15:00Z</dcterms:modified>
  <cp:category/>
</cp:coreProperties>
</file>