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240"/>
      </w:pPr>
      <w:r>
        <w:rPr>
          <w:rFonts w:ascii="Calibri" w:hAnsi="Calibri"/>
          <w:b/>
          <w:color w:val="2E74B5"/>
          <w:sz w:val="20"/>
        </w:rPr>
        <w:t>MARKET DATA OPERATIONS</w:t>
      </w:r>
    </w:p>
    <w:p>
      <w:pPr>
        <w:spacing w:after="200"/>
      </w:pPr>
      <w:r>
        <w:rPr>
          <w:rFonts w:ascii="Calibri" w:hAnsi="Calibri"/>
          <w:b/>
          <w:color w:val="17365D"/>
          <w:sz w:val="56"/>
        </w:rPr>
        <w:t>IBKR Data Acquisition and Candidate 2 Consumption Guide</w:t>
      </w:r>
    </w:p>
    <w:p>
      <w:pPr>
        <w:spacing w:after="520"/>
      </w:pPr>
      <w:r>
        <w:rPr>
          <w:rFonts w:ascii="Calibri" w:hAnsi="Calibri"/>
          <w:color w:val="1F4D78"/>
          <w:sz w:val="28"/>
        </w:rPr>
        <w:t>How historical market and sector context moves from Interactive Brokers into the TradeEvidence analytics workflow</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pPr>
              <w:spacing w:after="0"/>
            </w:pPr>
            <w:r>
              <w:rPr>
                <w:rFonts w:ascii="Calibri" w:hAnsi="Calibri"/>
                <w:b/>
                <w:color w:val="17365D"/>
                <w:sz w:val="20"/>
              </w:rPr>
              <w:t>Document</w:t>
            </w:r>
          </w:p>
        </w:tc>
        <w:tc>
          <w:tcPr>
            <w:tcW w:type="dxa" w:w="6660"/>
            <w:shd w:fill="E8EEF5"/>
            <w:tcMar>
              <w:top w:w="80" w:type="dxa"/>
              <w:start w:w="120" w:type="dxa"/>
              <w:bottom w:w="80" w:type="dxa"/>
              <w:end w:w="120" w:type="dxa"/>
            </w:tcMar>
            <w:vAlign w:val="center"/>
          </w:tcPr>
          <w:p>
            <w:pPr>
              <w:spacing w:after="0"/>
            </w:pPr>
            <w:r>
              <w:rPr>
                <w:rFonts w:ascii="Calibri" w:hAnsi="Calibri"/>
                <w:b/>
                <w:color w:val="17365D"/>
                <w:sz w:val="20"/>
              </w:rPr>
              <w:t>Value</w:t>
            </w:r>
          </w:p>
        </w:tc>
      </w:tr>
      <w:tr>
        <w:tc>
          <w:tcPr>
            <w:tcW w:type="dxa" w:w="2700"/>
            <w:tcMar>
              <w:top w:w="80" w:type="dxa"/>
              <w:start w:w="120" w:type="dxa"/>
              <w:bottom w:w="80" w:type="dxa"/>
              <w:end w:w="120" w:type="dxa"/>
            </w:tcMar>
            <w:vAlign w:val="center"/>
          </w:tcPr>
          <w:p>
            <w:pPr>
              <w:spacing w:after="0"/>
            </w:pPr>
            <w:r>
              <w:rPr>
                <w:rFonts w:ascii="Calibri" w:hAnsi="Calibri"/>
                <w:sz w:val="19"/>
              </w:rPr>
              <w:t>Audience</w:t>
            </w:r>
          </w:p>
        </w:tc>
        <w:tc>
          <w:tcPr>
            <w:tcW w:type="dxa" w:w="6660"/>
            <w:tcMar>
              <w:top w:w="80" w:type="dxa"/>
              <w:start w:w="120" w:type="dxa"/>
              <w:bottom w:w="80" w:type="dxa"/>
              <w:end w:w="120" w:type="dxa"/>
            </w:tcMar>
            <w:vAlign w:val="center"/>
          </w:tcPr>
          <w:p>
            <w:pPr>
              <w:spacing w:after="0"/>
            </w:pPr>
            <w:r>
              <w:rPr>
                <w:rFonts w:ascii="Calibri" w:hAnsi="Calibri"/>
                <w:sz w:val="19"/>
              </w:rPr>
              <w:t>TradeEvidence founder and future engineering operators</w:t>
            </w:r>
          </w:p>
        </w:tc>
      </w:tr>
      <w:tr>
        <w:tc>
          <w:tcPr>
            <w:tcW w:type="dxa" w:w="2700"/>
            <w:tcMar>
              <w:top w:w="80" w:type="dxa"/>
              <w:start w:w="120" w:type="dxa"/>
              <w:bottom w:w="80" w:type="dxa"/>
              <w:end w:w="120" w:type="dxa"/>
            </w:tcMar>
            <w:vAlign w:val="center"/>
          </w:tcPr>
          <w:p>
            <w:pPr>
              <w:spacing w:after="0"/>
            </w:pPr>
            <w:r>
              <w:rPr>
                <w:rFonts w:ascii="Calibri" w:hAnsi="Calibri"/>
                <w:sz w:val="19"/>
              </w:rPr>
              <w:t>Purpose</w:t>
            </w:r>
          </w:p>
        </w:tc>
        <w:tc>
          <w:tcPr>
            <w:tcW w:type="dxa" w:w="6660"/>
            <w:tcMar>
              <w:top w:w="80" w:type="dxa"/>
              <w:start w:w="120" w:type="dxa"/>
              <w:bottom w:w="80" w:type="dxa"/>
              <w:end w:w="120" w:type="dxa"/>
            </w:tcMar>
            <w:vAlign w:val="center"/>
          </w:tcPr>
          <w:p>
            <w:pPr>
              <w:spacing w:after="0"/>
            </w:pPr>
            <w:r>
              <w:rPr>
                <w:rFonts w:ascii="Calibri" w:hAnsi="Calibri"/>
                <w:sz w:val="19"/>
              </w:rPr>
              <w:t>Repeatable acquisition, validation, and consumption workflow</w:t>
            </w:r>
          </w:p>
        </w:tc>
      </w:tr>
      <w:tr>
        <w:tc>
          <w:tcPr>
            <w:tcW w:type="dxa" w:w="2700"/>
            <w:tcMar>
              <w:top w:w="80" w:type="dxa"/>
              <w:start w:w="120" w:type="dxa"/>
              <w:bottom w:w="80" w:type="dxa"/>
              <w:end w:w="120" w:type="dxa"/>
            </w:tcMar>
            <w:vAlign w:val="center"/>
          </w:tcPr>
          <w:p>
            <w:pPr>
              <w:spacing w:after="0"/>
            </w:pPr>
            <w:r>
              <w:rPr>
                <w:rFonts w:ascii="Calibri" w:hAnsi="Calibri"/>
                <w:sz w:val="19"/>
              </w:rPr>
              <w:t>Status</w:t>
            </w:r>
          </w:p>
        </w:tc>
        <w:tc>
          <w:tcPr>
            <w:tcW w:type="dxa" w:w="6660"/>
            <w:tcMar>
              <w:top w:w="80" w:type="dxa"/>
              <w:start w:w="120" w:type="dxa"/>
              <w:bottom w:w="80" w:type="dxa"/>
              <w:end w:w="120" w:type="dxa"/>
            </w:tcMar>
            <w:vAlign w:val="center"/>
          </w:tcPr>
          <w:p>
            <w:pPr>
              <w:spacing w:after="0"/>
            </w:pPr>
            <w:r>
              <w:rPr>
                <w:rFonts w:ascii="Calibri" w:hAnsi="Calibri"/>
                <w:sz w:val="19"/>
              </w:rPr>
              <w:t>IBKR acquisition implemented; Candidate 2 context consumption planned</w:t>
            </w:r>
          </w:p>
        </w:tc>
      </w:tr>
      <w:tr>
        <w:tc>
          <w:tcPr>
            <w:tcW w:type="dxa" w:w="2700"/>
            <w:tcMar>
              <w:top w:w="80" w:type="dxa"/>
              <w:start w:w="120" w:type="dxa"/>
              <w:bottom w:w="80" w:type="dxa"/>
              <w:end w:w="120" w:type="dxa"/>
            </w:tcMar>
            <w:vAlign w:val="center"/>
          </w:tcPr>
          <w:p>
            <w:pPr>
              <w:spacing w:after="0"/>
            </w:pPr>
            <w:r>
              <w:rPr>
                <w:rFonts w:ascii="Calibri" w:hAnsi="Calibri"/>
                <w:sz w:val="19"/>
              </w:rPr>
              <w:t>Version date</w:t>
            </w:r>
          </w:p>
        </w:tc>
        <w:tc>
          <w:tcPr>
            <w:tcW w:type="dxa" w:w="6660"/>
            <w:tcMar>
              <w:top w:w="80" w:type="dxa"/>
              <w:start w:w="120" w:type="dxa"/>
              <w:bottom w:w="80" w:type="dxa"/>
              <w:end w:w="120" w:type="dxa"/>
            </w:tcMar>
            <w:vAlign w:val="center"/>
          </w:tcPr>
          <w:p>
            <w:pPr>
              <w:spacing w:after="0"/>
            </w:pPr>
            <w:r>
              <w:rPr>
                <w:rFonts w:ascii="Calibri" w:hAnsi="Calibri"/>
                <w:sz w:val="19"/>
              </w:rPr>
              <w:t>September 1, 2026</w:t>
            </w:r>
          </w:p>
        </w:tc>
      </w:tr>
    </w:tbl>
    <w:p>
      <w:pPr>
        <w:spacing w:after="0"/>
      </w:pPr>
    </w:p>
    <w:p>
      <w:pPr>
        <w:spacing w:before="80" w:after="200" w:line="283" w:lineRule="auto"/>
        <w:ind w:left="202" w:right="202"/>
        <w:shd w:fill="FFF4CE"/>
        <w:pBdr>
          <w:left w:val="single" w:sz="18" w:space="8" w:color="2E74B5"/>
        </w:pBdr>
      </w:pPr>
      <w:r>
        <w:rPr>
          <w:rFonts w:ascii="Calibri" w:hAnsi="Calibri"/>
          <w:b/>
          <w:color w:val="17365D"/>
        </w:rPr>
        <w:t xml:space="preserve">Most important distinction  </w:t>
      </w:r>
      <w:r>
        <w:rPr>
          <w:rFonts w:ascii="Calibri" w:hAnsi="Calibri"/>
          <w:color w:val="17365D"/>
        </w:rPr>
        <w:t>The IBKR program creates a validated CSV. Candidate 2 does not yet use that historical context in its classifications or Evidence Score. Its existing behavior remains unchanged.</w:t>
      </w:r>
    </w:p>
    <w:p>
      <w:r>
        <w:br w:type="page"/>
      </w:r>
    </w:p>
    <w:p>
      <w:pPr>
        <w:pStyle w:val="Heading1"/>
      </w:pPr>
      <w:r>
        <w:t>1. Purpose and architectural fit</w:t>
      </w:r>
    </w:p>
    <w:p>
      <w:pPr>
        <w:spacing w:after="120"/>
      </w:pPr>
      <w:r>
        <w:rPr>
          <w:rFonts w:ascii="Calibri" w:hAnsi="Calibri"/>
          <w:i w:val="0"/>
        </w:rPr>
        <w:t>TradeEvidence separates market-data acquisition from analytical interpretation. The provider-specific IBKR program collects historical data and produces the approved CSV contract. Downstream analytical code reads the contract rather than calling IBKR directly.</w:t>
      </w:r>
    </w:p>
    <w:p>
      <w:pPr>
        <w:spacing w:before="80" w:after="200" w:line="283" w:lineRule="auto"/>
        <w:ind w:left="202" w:right="202"/>
        <w:shd w:fill="E8EEF5"/>
        <w:pBdr>
          <w:left w:val="single" w:sz="18" w:space="8" w:color="2E74B5"/>
        </w:pBdr>
      </w:pPr>
      <w:r>
        <w:rPr>
          <w:rFonts w:ascii="Calibri" w:hAnsi="Calibri"/>
          <w:b/>
          <w:color w:val="17365D"/>
        </w:rPr>
        <w:t xml:space="preserve">Architecture rule  </w:t>
      </w:r>
      <w:r>
        <w:rPr>
          <w:rFonts w:ascii="Calibri" w:hAnsi="Calibri"/>
          <w:color w:val="17365D"/>
        </w:rPr>
        <w:t>CSV remains the MVP data contract. IBKR is an acquisition source behind the market-data boundary, not a dependency embedded in the Evidence Engine or website.</w:t>
      </w:r>
    </w:p>
    <w:p>
      <w:pPr>
        <w:pStyle w:val="Heading2"/>
      </w:pPr>
      <w:r>
        <w:t>End-to-end flow</w:t>
      </w:r>
    </w:p>
    <w:tbl>
      <w:tblPr>
        <w:tblStyle w:val="TableGrid"/>
        <w:tblW w:type="dxa" w:w="9360"/>
        <w:jc w:val="left"/>
        <w:tblLayout w:type="fixed"/>
        <w:tblLook w:firstColumn="1" w:firstRow="1" w:lastColumn="0" w:lastRow="0" w:noHBand="0" w:noVBand="1" w:val="04A0"/>
        <w:tblInd w:w="120" w:type="dxa"/>
      </w:tblPr>
      <w:tblGrid>
        <w:gridCol w:w="1250"/>
        <w:gridCol w:w="5450"/>
        <w:gridCol w:w="2660"/>
      </w:tblGrid>
      <w:tr>
        <w:trPr>
          <w:tblHeader w:val="true"/>
        </w:trPr>
        <w:tc>
          <w:tcPr>
            <w:tcW w:type="dxa" w:w="1250"/>
            <w:shd w:fill="E8EEF5"/>
            <w:tcMar>
              <w:top w:w="80" w:type="dxa"/>
              <w:start w:w="120" w:type="dxa"/>
              <w:bottom w:w="80" w:type="dxa"/>
              <w:end w:w="120" w:type="dxa"/>
            </w:tcMar>
            <w:vAlign w:val="center"/>
          </w:tcPr>
          <w:p>
            <w:pPr>
              <w:spacing w:after="0"/>
            </w:pPr>
            <w:r>
              <w:rPr>
                <w:rFonts w:ascii="Calibri" w:hAnsi="Calibri"/>
                <w:b/>
                <w:color w:val="17365D"/>
                <w:sz w:val="20"/>
              </w:rPr>
              <w:t>Stage</w:t>
            </w:r>
          </w:p>
        </w:tc>
        <w:tc>
          <w:tcPr>
            <w:tcW w:type="dxa" w:w="5450"/>
            <w:shd w:fill="E8EEF5"/>
            <w:tcMar>
              <w:top w:w="80" w:type="dxa"/>
              <w:start w:w="120" w:type="dxa"/>
              <w:bottom w:w="80" w:type="dxa"/>
              <w:end w:w="120" w:type="dxa"/>
            </w:tcMar>
            <w:vAlign w:val="center"/>
          </w:tcPr>
          <w:p>
            <w:pPr>
              <w:spacing w:after="0"/>
            </w:pPr>
            <w:r>
              <w:rPr>
                <w:rFonts w:ascii="Calibri" w:hAnsi="Calibri"/>
                <w:b/>
                <w:color w:val="17365D"/>
                <w:sz w:val="20"/>
              </w:rPr>
              <w:t>Responsibility</w:t>
            </w:r>
          </w:p>
        </w:tc>
        <w:tc>
          <w:tcPr>
            <w:tcW w:type="dxa" w:w="2660"/>
            <w:shd w:fill="E8EEF5"/>
            <w:tcMar>
              <w:top w:w="80" w:type="dxa"/>
              <w:start w:w="120" w:type="dxa"/>
              <w:bottom w:w="80" w:type="dxa"/>
              <w:end w:w="120" w:type="dxa"/>
            </w:tcMar>
            <w:vAlign w:val="center"/>
          </w:tcPr>
          <w:p>
            <w:pPr>
              <w:spacing w:after="0"/>
            </w:pPr>
            <w:r>
              <w:rPr>
                <w:rFonts w:ascii="Calibri" w:hAnsi="Calibri"/>
                <w:b/>
                <w:color w:val="17365D"/>
                <w:sz w:val="20"/>
              </w:rPr>
              <w:t>Current status</w:t>
            </w:r>
          </w:p>
        </w:tc>
      </w:tr>
      <w:tr>
        <w:tc>
          <w:tcPr>
            <w:tcW w:type="dxa" w:w="1250"/>
            <w:tcMar>
              <w:top w:w="80" w:type="dxa"/>
              <w:start w:w="120" w:type="dxa"/>
              <w:bottom w:w="80" w:type="dxa"/>
              <w:end w:w="120" w:type="dxa"/>
            </w:tcMar>
            <w:vAlign w:val="center"/>
          </w:tcPr>
          <w:p>
            <w:pPr>
              <w:spacing w:after="0"/>
            </w:pPr>
            <w:r>
              <w:rPr>
                <w:rFonts w:ascii="Calibri" w:hAnsi="Calibri"/>
                <w:sz w:val="19"/>
              </w:rPr>
              <w:t>1. TWS</w:t>
            </w:r>
          </w:p>
        </w:tc>
        <w:tc>
          <w:tcPr>
            <w:tcW w:type="dxa" w:w="5450"/>
            <w:tcMar>
              <w:top w:w="80" w:type="dxa"/>
              <w:start w:w="120" w:type="dxa"/>
              <w:bottom w:w="80" w:type="dxa"/>
              <w:end w:w="120" w:type="dxa"/>
            </w:tcMar>
            <w:vAlign w:val="center"/>
          </w:tcPr>
          <w:p>
            <w:pPr>
              <w:spacing w:after="0"/>
            </w:pPr>
            <w:r>
              <w:rPr>
                <w:rFonts w:ascii="Calibri" w:hAnsi="Calibri"/>
                <w:sz w:val="19"/>
              </w:rPr>
              <w:t>Provides entitled historical market data through the local API</w:t>
            </w:r>
          </w:p>
        </w:tc>
        <w:tc>
          <w:tcPr>
            <w:tcW w:type="dxa" w:w="2660"/>
            <w:tcMar>
              <w:top w:w="80" w:type="dxa"/>
              <w:start w:w="120" w:type="dxa"/>
              <w:bottom w:w="80" w:type="dxa"/>
              <w:end w:w="120" w:type="dxa"/>
            </w:tcMar>
            <w:vAlign w:val="center"/>
          </w:tcPr>
          <w:p>
            <w:pPr>
              <w:spacing w:after="0"/>
            </w:pPr>
            <w:r>
              <w:rPr>
                <w:rFonts w:ascii="Calibri" w:hAnsi="Calibri"/>
                <w:sz w:val="19"/>
              </w:rPr>
              <w:t>Ready</w:t>
            </w:r>
          </w:p>
        </w:tc>
      </w:tr>
      <w:tr>
        <w:tc>
          <w:tcPr>
            <w:tcW w:type="dxa" w:w="1250"/>
            <w:tcMar>
              <w:top w:w="80" w:type="dxa"/>
              <w:start w:w="120" w:type="dxa"/>
              <w:bottom w:w="80" w:type="dxa"/>
              <w:end w:w="120" w:type="dxa"/>
            </w:tcMar>
            <w:vAlign w:val="center"/>
          </w:tcPr>
          <w:p>
            <w:pPr>
              <w:spacing w:after="0"/>
            </w:pPr>
            <w:r>
              <w:rPr>
                <w:rFonts w:ascii="Calibri" w:hAnsi="Calibri"/>
                <w:sz w:val="19"/>
              </w:rPr>
              <w:t>2. IBKR adapter</w:t>
            </w:r>
          </w:p>
        </w:tc>
        <w:tc>
          <w:tcPr>
            <w:tcW w:type="dxa" w:w="5450"/>
            <w:tcMar>
              <w:top w:w="80" w:type="dxa"/>
              <w:start w:w="120" w:type="dxa"/>
              <w:bottom w:w="80" w:type="dxa"/>
              <w:end w:w="120" w:type="dxa"/>
            </w:tcMar>
            <w:vAlign w:val="center"/>
          </w:tcPr>
          <w:p>
            <w:pPr>
              <w:spacing w:after="0"/>
            </w:pPr>
            <w:r>
              <w:rPr>
                <w:rFonts w:ascii="Calibri" w:hAnsi="Calibri"/>
                <w:sz w:val="19"/>
              </w:rPr>
              <w:t>Requests approved daily bars and normalizes provider details</w:t>
            </w:r>
          </w:p>
        </w:tc>
        <w:tc>
          <w:tcPr>
            <w:tcW w:type="dxa" w:w="2660"/>
            <w:tcMar>
              <w:top w:w="80" w:type="dxa"/>
              <w:start w:w="120" w:type="dxa"/>
              <w:bottom w:w="80" w:type="dxa"/>
              <w:end w:w="120" w:type="dxa"/>
            </w:tcMar>
            <w:vAlign w:val="center"/>
          </w:tcPr>
          <w:p>
            <w:pPr>
              <w:spacing w:after="0"/>
            </w:pPr>
            <w:r>
              <w:rPr>
                <w:rFonts w:ascii="Calibri" w:hAnsi="Calibri"/>
                <w:sz w:val="19"/>
              </w:rPr>
              <w:t>Implemented</w:t>
            </w:r>
          </w:p>
        </w:tc>
      </w:tr>
      <w:tr>
        <w:tc>
          <w:tcPr>
            <w:tcW w:type="dxa" w:w="1250"/>
            <w:tcMar>
              <w:top w:w="80" w:type="dxa"/>
              <w:start w:w="120" w:type="dxa"/>
              <w:bottom w:w="80" w:type="dxa"/>
              <w:end w:w="120" w:type="dxa"/>
            </w:tcMar>
            <w:vAlign w:val="center"/>
          </w:tcPr>
          <w:p>
            <w:pPr>
              <w:spacing w:after="0"/>
            </w:pPr>
            <w:r>
              <w:rPr>
                <w:rFonts w:ascii="Calibri" w:hAnsi="Calibri"/>
                <w:sz w:val="19"/>
              </w:rPr>
              <w:t>3. Context CSV</w:t>
            </w:r>
          </w:p>
        </w:tc>
        <w:tc>
          <w:tcPr>
            <w:tcW w:type="dxa" w:w="5450"/>
            <w:tcMar>
              <w:top w:w="80" w:type="dxa"/>
              <w:start w:w="120" w:type="dxa"/>
              <w:bottom w:w="80" w:type="dxa"/>
              <w:end w:w="120" w:type="dxa"/>
            </w:tcMar>
            <w:vAlign w:val="center"/>
          </w:tcPr>
          <w:p>
            <w:pPr>
              <w:spacing w:after="0"/>
            </w:pPr>
            <w:r>
              <w:rPr>
                <w:rFonts w:ascii="Calibri" w:hAnsi="Calibri"/>
                <w:sz w:val="19"/>
              </w:rPr>
              <w:t>Stores provider-independent market and sector history</w:t>
            </w:r>
          </w:p>
        </w:tc>
        <w:tc>
          <w:tcPr>
            <w:tcW w:type="dxa" w:w="2660"/>
            <w:tcMar>
              <w:top w:w="80" w:type="dxa"/>
              <w:start w:w="120" w:type="dxa"/>
              <w:bottom w:w="80" w:type="dxa"/>
              <w:end w:w="120" w:type="dxa"/>
            </w:tcMar>
            <w:vAlign w:val="center"/>
          </w:tcPr>
          <w:p>
            <w:pPr>
              <w:spacing w:after="0"/>
            </w:pPr>
            <w:r>
              <w:rPr>
                <w:rFonts w:ascii="Calibri" w:hAnsi="Calibri"/>
                <w:sz w:val="19"/>
              </w:rPr>
              <w:t>Generated and validated</w:t>
            </w:r>
          </w:p>
        </w:tc>
      </w:tr>
      <w:tr>
        <w:tc>
          <w:tcPr>
            <w:tcW w:type="dxa" w:w="1250"/>
            <w:tcMar>
              <w:top w:w="80" w:type="dxa"/>
              <w:start w:w="120" w:type="dxa"/>
              <w:bottom w:w="80" w:type="dxa"/>
              <w:end w:w="120" w:type="dxa"/>
            </w:tcMar>
            <w:vAlign w:val="center"/>
          </w:tcPr>
          <w:p>
            <w:pPr>
              <w:spacing w:after="0"/>
            </w:pPr>
            <w:r>
              <w:rPr>
                <w:rFonts w:ascii="Calibri" w:hAnsi="Calibri"/>
                <w:sz w:val="19"/>
              </w:rPr>
              <w:t>4. Context adapter</w:t>
            </w:r>
          </w:p>
        </w:tc>
        <w:tc>
          <w:tcPr>
            <w:tcW w:type="dxa" w:w="5450"/>
            <w:tcMar>
              <w:top w:w="80" w:type="dxa"/>
              <w:start w:w="120" w:type="dxa"/>
              <w:bottom w:w="80" w:type="dxa"/>
              <w:end w:w="120" w:type="dxa"/>
            </w:tcMar>
            <w:vAlign w:val="center"/>
          </w:tcPr>
          <w:p>
            <w:pPr>
              <w:spacing w:after="0"/>
            </w:pPr>
            <w:r>
              <w:rPr>
                <w:rFonts w:ascii="Calibri" w:hAnsi="Calibri"/>
                <w:sz w:val="19"/>
              </w:rPr>
              <w:t>Reads CSV and calculates versioned market/sector context</w:t>
            </w:r>
          </w:p>
        </w:tc>
        <w:tc>
          <w:tcPr>
            <w:tcW w:type="dxa" w:w="2660"/>
            <w:tcMar>
              <w:top w:w="80" w:type="dxa"/>
              <w:start w:w="120" w:type="dxa"/>
              <w:bottom w:w="80" w:type="dxa"/>
              <w:end w:w="120" w:type="dxa"/>
            </w:tcMar>
            <w:vAlign w:val="center"/>
          </w:tcPr>
          <w:p>
            <w:pPr>
              <w:spacing w:after="0"/>
            </w:pPr>
            <w:r>
              <w:rPr>
                <w:rFonts w:ascii="Calibri" w:hAnsi="Calibri"/>
                <w:sz w:val="19"/>
              </w:rPr>
              <w:t>Next implementation step</w:t>
            </w:r>
          </w:p>
        </w:tc>
      </w:tr>
      <w:tr>
        <w:tc>
          <w:tcPr>
            <w:tcW w:type="dxa" w:w="1250"/>
            <w:tcMar>
              <w:top w:w="80" w:type="dxa"/>
              <w:start w:w="120" w:type="dxa"/>
              <w:bottom w:w="80" w:type="dxa"/>
              <w:end w:w="120" w:type="dxa"/>
            </w:tcMar>
            <w:vAlign w:val="center"/>
          </w:tcPr>
          <w:p>
            <w:pPr>
              <w:spacing w:after="0"/>
            </w:pPr>
            <w:r>
              <w:rPr>
                <w:rFonts w:ascii="Calibri" w:hAnsi="Calibri"/>
                <w:sz w:val="19"/>
              </w:rPr>
              <w:t>5. Candidate 2</w:t>
            </w:r>
          </w:p>
        </w:tc>
        <w:tc>
          <w:tcPr>
            <w:tcW w:type="dxa" w:w="5450"/>
            <w:tcMar>
              <w:top w:w="80" w:type="dxa"/>
              <w:start w:w="120" w:type="dxa"/>
              <w:bottom w:w="80" w:type="dxa"/>
              <w:end w:w="120" w:type="dxa"/>
            </w:tcMar>
            <w:vAlign w:val="center"/>
          </w:tcPr>
          <w:p>
            <w:pPr>
              <w:spacing w:after="0"/>
            </w:pPr>
            <w:r>
              <w:rPr>
                <w:rFonts w:ascii="Calibri" w:hAnsi="Calibri"/>
                <w:sz w:val="19"/>
              </w:rPr>
              <w:t>Evaluates symbol-level technical evidence</w:t>
            </w:r>
          </w:p>
        </w:tc>
        <w:tc>
          <w:tcPr>
            <w:tcW w:type="dxa" w:w="2660"/>
            <w:tcMar>
              <w:top w:w="80" w:type="dxa"/>
              <w:start w:w="120" w:type="dxa"/>
              <w:bottom w:w="80" w:type="dxa"/>
              <w:end w:w="120" w:type="dxa"/>
            </w:tcMar>
            <w:vAlign w:val="center"/>
          </w:tcPr>
          <w:p>
            <w:pPr>
              <w:spacing w:after="0"/>
            </w:pPr>
            <w:r>
              <w:rPr>
                <w:rFonts w:ascii="Calibri" w:hAnsi="Calibri"/>
                <w:sz w:val="19"/>
              </w:rPr>
              <w:t>Implemented; context not yet consumed</w:t>
            </w:r>
          </w:p>
        </w:tc>
      </w:tr>
      <w:tr>
        <w:tc>
          <w:tcPr>
            <w:tcW w:type="dxa" w:w="1250"/>
            <w:tcMar>
              <w:top w:w="80" w:type="dxa"/>
              <w:start w:w="120" w:type="dxa"/>
              <w:bottom w:w="80" w:type="dxa"/>
              <w:end w:w="120" w:type="dxa"/>
            </w:tcMar>
            <w:vAlign w:val="center"/>
          </w:tcPr>
          <w:p>
            <w:pPr>
              <w:spacing w:after="0"/>
            </w:pPr>
            <w:r>
              <w:rPr>
                <w:rFonts w:ascii="Calibri" w:hAnsi="Calibri"/>
                <w:sz w:val="19"/>
              </w:rPr>
              <w:t>6. Website</w:t>
            </w:r>
          </w:p>
        </w:tc>
        <w:tc>
          <w:tcPr>
            <w:tcW w:type="dxa" w:w="5450"/>
            <w:tcMar>
              <w:top w:w="80" w:type="dxa"/>
              <w:start w:w="120" w:type="dxa"/>
              <w:bottom w:w="80" w:type="dxa"/>
              <w:end w:w="120" w:type="dxa"/>
            </w:tcMar>
            <w:vAlign w:val="center"/>
          </w:tcPr>
          <w:p>
            <w:pPr>
              <w:spacing w:after="0"/>
            </w:pPr>
            <w:r>
              <w:rPr>
                <w:rFonts w:ascii="Calibri" w:hAnsi="Calibri"/>
                <w:sz w:val="19"/>
              </w:rPr>
              <w:t>Presents evidence and context with educational explanations</w:t>
            </w:r>
          </w:p>
        </w:tc>
        <w:tc>
          <w:tcPr>
            <w:tcW w:type="dxa" w:w="2660"/>
            <w:tcMar>
              <w:top w:w="80" w:type="dxa"/>
              <w:start w:w="120" w:type="dxa"/>
              <w:bottom w:w="80" w:type="dxa"/>
              <w:end w:w="120" w:type="dxa"/>
            </w:tcMar>
            <w:vAlign w:val="center"/>
          </w:tcPr>
          <w:p>
            <w:pPr>
              <w:spacing w:after="0"/>
            </w:pPr>
            <w:r>
              <w:rPr>
                <w:rFonts w:ascii="Calibri" w:hAnsi="Calibri"/>
                <w:sz w:val="19"/>
              </w:rPr>
              <w:t>Future MVP integration</w:t>
            </w:r>
          </w:p>
        </w:tc>
      </w:tr>
    </w:tbl>
    <w:p>
      <w:pPr>
        <w:spacing w:after="0"/>
      </w:pPr>
    </w:p>
    <w:p>
      <w:pPr>
        <w:pStyle w:val="Heading2"/>
      </w:pPr>
      <w:r>
        <w:t>What remains protected</w:t>
      </w:r>
    </w:p>
    <w:p>
      <w:pPr>
        <w:pStyle w:val="ListBullet"/>
        <w:spacing w:after="80" w:line="300" w:lineRule="auto"/>
        <w:ind w:left="540" w:hanging="271"/>
      </w:pPr>
      <w:r>
        <w:rPr>
          <w:rFonts w:ascii="Calibri" w:hAnsi="Calibri"/>
        </w:rPr>
        <w:t>The legacy analytics baseline remains unchanged.</w:t>
      </w:r>
    </w:p>
    <w:p>
      <w:pPr>
        <w:pStyle w:val="ListBullet"/>
        <w:spacing w:after="80" w:line="300" w:lineRule="auto"/>
        <w:ind w:left="540" w:hanging="271"/>
      </w:pPr>
      <w:r>
        <w:rPr>
          <w:rFonts w:ascii="Calibri" w:hAnsi="Calibri"/>
        </w:rPr>
        <w:t>Candidate 2 scoring weights, classifications, and explanations remain unchanged.</w:t>
      </w:r>
    </w:p>
    <w:p>
      <w:pPr>
        <w:pStyle w:val="ListBullet"/>
        <w:spacing w:after="80" w:line="300" w:lineRule="auto"/>
        <w:ind w:left="540" w:hanging="271"/>
      </w:pPr>
      <w:r>
        <w:rPr>
          <w:rFonts w:ascii="Calibri" w:hAnsi="Calibri"/>
        </w:rPr>
        <w:t>Evidence Score remains separate from Decision Confidence.</w:t>
      </w:r>
    </w:p>
    <w:p>
      <w:pPr>
        <w:pStyle w:val="ListBullet"/>
        <w:spacing w:after="80" w:line="300" w:lineRule="auto"/>
        <w:ind w:left="540" w:hanging="271"/>
      </w:pPr>
      <w:r>
        <w:rPr>
          <w:rFonts w:ascii="Calibri" w:hAnsi="Calibri"/>
        </w:rPr>
        <w:t>No provider-specific SDK calls are introduced into business logic.</w:t>
      </w:r>
    </w:p>
    <w:p>
      <w:pPr>
        <w:pStyle w:val="Heading1"/>
      </w:pPr>
      <w:r>
        <w:t>2. What the IBKR acquisition program does</w:t>
      </w:r>
    </w:p>
    <w:p>
      <w:pPr>
        <w:spacing w:after="120"/>
      </w:pPr>
      <w:r>
        <w:rPr>
          <w:rFonts w:ascii="Calibri" w:hAnsi="Calibri"/>
          <w:i w:val="0"/>
        </w:rPr>
        <w:t>The command-line program connects only to a founder-operated TWS session on the same computer. It requests completed regular-session daily bars for the 14 approved context ETFs.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80" w:type="dxa"/>
              <w:start w:w="120" w:type="dxa"/>
              <w:bottom w:w="80" w:type="dxa"/>
              <w:end w:w="120" w:type="dxa"/>
            </w:tcMar>
            <w:vAlign w:val="center"/>
          </w:tcPr>
          <w:p>
            <w:pPr>
              <w:spacing w:after="0"/>
            </w:pPr>
            <w:r>
              <w:rPr>
                <w:rFonts w:ascii="Calibri" w:hAnsi="Calibri"/>
                <w:b/>
                <w:color w:val="17365D"/>
                <w:sz w:val="20"/>
              </w:rPr>
              <w:t>Group</w:t>
            </w:r>
          </w:p>
        </w:tc>
        <w:tc>
          <w:tcPr>
            <w:tcW w:type="dxa" w:w="7060"/>
            <w:shd w:fill="E8EEF5"/>
            <w:tcMar>
              <w:top w:w="80" w:type="dxa"/>
              <w:start w:w="120" w:type="dxa"/>
              <w:bottom w:w="80" w:type="dxa"/>
              <w:end w:w="120" w:type="dxa"/>
            </w:tcMar>
            <w:vAlign w:val="center"/>
          </w:tcPr>
          <w:p>
            <w:pPr>
              <w:spacing w:after="0"/>
            </w:pPr>
            <w:r>
              <w:rPr>
                <w:rFonts w:ascii="Calibri" w:hAnsi="Calibri"/>
                <w:b/>
                <w:color w:val="17365D"/>
                <w:sz w:val="20"/>
              </w:rPr>
              <w:t>Symbols</w:t>
            </w:r>
          </w:p>
        </w:tc>
      </w:tr>
      <w:tr>
        <w:tc>
          <w:tcPr>
            <w:tcW w:type="dxa" w:w="2300"/>
            <w:tcMar>
              <w:top w:w="80" w:type="dxa"/>
              <w:start w:w="120" w:type="dxa"/>
              <w:bottom w:w="80" w:type="dxa"/>
              <w:end w:w="120" w:type="dxa"/>
            </w:tcMar>
            <w:vAlign w:val="center"/>
          </w:tcPr>
          <w:p>
            <w:pPr>
              <w:spacing w:after="0"/>
            </w:pPr>
            <w:r>
              <w:rPr>
                <w:rFonts w:ascii="Calibri" w:hAnsi="Calibri"/>
                <w:sz w:val="19"/>
              </w:rPr>
              <w:t>Broad market</w:t>
            </w:r>
          </w:p>
        </w:tc>
        <w:tc>
          <w:tcPr>
            <w:tcW w:type="dxa" w:w="7060"/>
            <w:tcMar>
              <w:top w:w="80" w:type="dxa"/>
              <w:start w:w="120" w:type="dxa"/>
              <w:bottom w:w="80" w:type="dxa"/>
              <w:end w:w="120" w:type="dxa"/>
            </w:tcMar>
            <w:vAlign w:val="center"/>
          </w:tcPr>
          <w:p>
            <w:pPr>
              <w:spacing w:after="0"/>
            </w:pPr>
            <w:r>
              <w:rPr>
                <w:rFonts w:ascii="Calibri" w:hAnsi="Calibri"/>
                <w:sz w:val="19"/>
              </w:rPr>
              <w:t>SPY, QQQ, IWM</w:t>
            </w:r>
          </w:p>
        </w:tc>
      </w:tr>
      <w:tr>
        <w:tc>
          <w:tcPr>
            <w:tcW w:type="dxa" w:w="2300"/>
            <w:tcMar>
              <w:top w:w="80" w:type="dxa"/>
              <w:start w:w="120" w:type="dxa"/>
              <w:bottom w:w="80" w:type="dxa"/>
              <w:end w:w="120" w:type="dxa"/>
            </w:tcMar>
            <w:vAlign w:val="center"/>
          </w:tcPr>
          <w:p>
            <w:pPr>
              <w:spacing w:after="0"/>
            </w:pPr>
            <w:r>
              <w:rPr>
                <w:rFonts w:ascii="Calibri" w:hAnsi="Calibri"/>
                <w:sz w:val="19"/>
              </w:rPr>
              <w:t>Sector representatives</w:t>
            </w:r>
          </w:p>
        </w:tc>
        <w:tc>
          <w:tcPr>
            <w:tcW w:type="dxa" w:w="7060"/>
            <w:tcMar>
              <w:top w:w="80" w:type="dxa"/>
              <w:start w:w="120" w:type="dxa"/>
              <w:bottom w:w="80" w:type="dxa"/>
              <w:end w:w="120" w:type="dxa"/>
            </w:tcMar>
            <w:vAlign w:val="center"/>
          </w:tcPr>
          <w:p>
            <w:pPr>
              <w:spacing w:after="0"/>
            </w:pPr>
            <w:r>
              <w:rPr>
                <w:rFonts w:ascii="Calibri" w:hAnsi="Calibri"/>
                <w:sz w:val="19"/>
              </w:rPr>
              <w:t>XLB, XLC, XLE, XLF, XLI, XLK, XLP, XLRE, XLU, XLV, XLY</w:t>
            </w:r>
          </w:p>
        </w:tc>
      </w:tr>
    </w:tbl>
    <w:p>
      <w:pPr>
        <w:spacing w:after="0"/>
      </w:pPr>
    </w:p>
    <w:p>
      <w:pPr>
        <w:pStyle w:val="Heading2"/>
      </w:pPr>
      <w:r>
        <w:t>Data requested</w:t>
      </w:r>
    </w:p>
    <w:p>
      <w:pPr>
        <w:pStyle w:val="ListBullet"/>
        <w:spacing w:after="80" w:line="300" w:lineRule="auto"/>
        <w:ind w:left="540" w:hanging="271"/>
      </w:pPr>
      <w:r>
        <w:rPr>
          <w:rFonts w:ascii="Calibri" w:hAnsi="Calibri"/>
        </w:rPr>
        <w:t>TRADES daily bars for regular-session Open, High, Low, Close, and Volume.</w:t>
      </w:r>
    </w:p>
    <w:p>
      <w:pPr>
        <w:pStyle w:val="ListBullet"/>
        <w:spacing w:after="80" w:line="300" w:lineRule="auto"/>
        <w:ind w:left="540" w:hanging="271"/>
      </w:pPr>
      <w:r>
        <w:rPr>
          <w:rFonts w:ascii="Calibri" w:hAnsi="Calibri"/>
        </w:rPr>
        <w:t>ADJUSTED_LAST daily bars for the split-and-distribution-adjusted close.</w:t>
      </w:r>
    </w:p>
    <w:p>
      <w:pPr>
        <w:pStyle w:val="ListBullet"/>
        <w:spacing w:after="80" w:line="300" w:lineRule="auto"/>
        <w:ind w:left="540" w:hanging="271"/>
      </w:pPr>
      <w:r>
        <w:rPr>
          <w:rFonts w:ascii="Calibri" w:hAnsi="Calibri"/>
        </w:rPr>
        <w:t>Three years of source history, followed by deterministic filtering through the approved completed market date.</w:t>
      </w:r>
    </w:p>
    <w:p>
      <w:pPr>
        <w:pStyle w:val="ListBullet"/>
        <w:spacing w:after="80" w:line="300" w:lineRule="auto"/>
        <w:ind w:left="540" w:hanging="271"/>
      </w:pPr>
      <w:r>
        <w:rPr>
          <w:rFonts w:ascii="Calibri" w:hAnsi="Calibri"/>
        </w:rPr>
        <w:t>Only symbols explicitly approved by the acquisition contract.</w:t>
      </w:r>
    </w:p>
    <w:p>
      <w:pPr>
        <w:pStyle w:val="Heading2"/>
      </w:pPr>
      <w:r>
        <w:t>Safety boundaries</w:t>
      </w:r>
    </w:p>
    <w:p>
      <w:pPr>
        <w:spacing w:before="80" w:after="200" w:line="283" w:lineRule="auto"/>
        <w:ind w:left="202" w:right="202"/>
        <w:shd w:fill="E7F4EA"/>
        <w:pBdr>
          <w:left w:val="single" w:sz="18" w:space="8" w:color="2E74B5"/>
        </w:pBdr>
      </w:pPr>
      <w:r>
        <w:rPr>
          <w:rFonts w:ascii="Calibri" w:hAnsi="Calibri"/>
          <w:b/>
          <w:color w:val="17365D"/>
        </w:rPr>
        <w:t xml:space="preserve">Read-only scope  </w:t>
      </w:r>
      <w:r>
        <w:rPr>
          <w:rFonts w:ascii="Calibri" w:hAnsi="Calibri"/>
          <w:color w:val="17365D"/>
        </w:rPr>
        <w:t>The program never requests account balances, portfolios, positions, executions, transactions, open orders, or order placement. It discards any account identifier that TWS may automatically announce during connection setup.</w:t>
      </w:r>
    </w:p>
    <w:p>
      <w:pPr>
        <w:pStyle w:val="ListBullet"/>
        <w:spacing w:after="80" w:line="300" w:lineRule="auto"/>
        <w:ind w:left="540" w:hanging="271"/>
      </w:pPr>
      <w:r>
        <w:rPr>
          <w:rFonts w:ascii="Calibri" w:hAnsi="Calibri"/>
        </w:rPr>
        <w:t>Remote hosts are rejected; only 127.0.0.1, localhost, or ::1 are permitted.</w:t>
      </w:r>
    </w:p>
    <w:p>
      <w:pPr>
        <w:pStyle w:val="ListBullet"/>
        <w:spacing w:after="80" w:line="300" w:lineRule="auto"/>
        <w:ind w:left="540" w:hanging="271"/>
      </w:pPr>
      <w:r>
        <w:rPr>
          <w:rFonts w:ascii="Calibri" w:hAnsi="Calibri"/>
        </w:rPr>
        <w:t>TWS Read-Only API should remain enabled.</w:t>
      </w:r>
    </w:p>
    <w:p>
      <w:pPr>
        <w:pStyle w:val="ListBullet"/>
        <w:spacing w:after="80" w:line="300" w:lineRule="auto"/>
        <w:ind w:left="540" w:hanging="271"/>
      </w:pPr>
      <w:r>
        <w:rPr>
          <w:rFonts w:ascii="Calibri" w:hAnsi="Calibri"/>
        </w:rPr>
        <w:t>Generated market-data files remain local and ignored by Git.</w:t>
      </w:r>
    </w:p>
    <w:p>
      <w:r>
        <w:br w:type="page"/>
      </w:r>
    </w:p>
    <w:p>
      <w:pPr>
        <w:pStyle w:val="Heading1"/>
      </w:pPr>
      <w:r>
        <w:t>3. One-time setup</w:t>
      </w:r>
    </w:p>
    <w:p>
      <w:pPr>
        <w:pStyle w:val="Heading2"/>
      </w:pPr>
      <w:r>
        <w:t>Step 1 - Prepare Trader Workstation</w:t>
      </w:r>
    </w:p>
    <w:p>
      <w:pPr>
        <w:spacing w:after="120"/>
      </w:pPr>
      <w:r>
        <w:rPr>
          <w:rFonts w:ascii="Calibri" w:hAnsi="Calibri"/>
          <w:i w:val="0"/>
        </w:rPr>
        <w:t>Open TWS and sign in. In Global Configuration &gt; API &gt; Settings, enable ActiveX and Socket Clients, keep Read-Only API enabled, and confirm socket port 7496 for the live TWS session. Keep TWS open while acquiring data.</w:t>
      </w:r>
    </w:p>
    <w:p>
      <w:pPr>
        <w:spacing w:before="80" w:after="200" w:line="283" w:lineRule="auto"/>
        <w:ind w:left="202" w:right="202"/>
        <w:shd w:fill="FFF4CE"/>
        <w:pBdr>
          <w:left w:val="single" w:sz="18" w:space="8" w:color="2E74B5"/>
        </w:pBdr>
      </w:pPr>
      <w:r>
        <w:rPr>
          <w:rFonts w:ascii="Calibri" w:hAnsi="Calibri"/>
          <w:b/>
          <w:color w:val="17365D"/>
        </w:rPr>
        <w:t xml:space="preserve">Connection prompt  </w:t>
      </w:r>
      <w:r>
        <w:rPr>
          <w:rFonts w:ascii="Calibri" w:hAnsi="Calibri"/>
          <w:color w:val="17365D"/>
        </w:rPr>
        <w:t>On the first run, TWS may ask whether to accept an incoming API connection. Accept only the local 127.0.0.1 connection.</w:t>
      </w:r>
    </w:p>
    <w:p>
      <w:pPr>
        <w:pStyle w:val="Heading2"/>
      </w:pPr>
      <w:r>
        <w:t>Step 2 - Open PowerShell in the analytics engine</w:t>
      </w:r>
    </w:p>
    <w:p>
      <w:pPr>
        <w:spacing w:before="60" w:after="160" w:line="259" w:lineRule="auto"/>
        <w:ind w:left="317" w:right="317"/>
        <w:shd w:fill="F5F7FA"/>
      </w:pPr>
      <w:r>
        <w:rPr>
          <w:rFonts w:ascii="Consolas" w:hAnsi="Consolas"/>
          <w:color w:val="17365D"/>
          <w:sz w:val="18"/>
        </w:rPr>
        <w:t>cd C:\Projects\TradeEvidence\tradeevidence-web\analytics-engine</w:t>
      </w:r>
    </w:p>
    <w:p>
      <w:pPr>
        <w:pStyle w:val="Heading2"/>
      </w:pPr>
      <w:r>
        <w:t>Step 3 - Install the Python dependency</w:t>
      </w:r>
    </w:p>
    <w:p>
      <w:pPr>
        <w:spacing w:after="120"/>
      </w:pPr>
      <w:r>
        <w:rPr>
          <w:rFonts w:ascii="Calibri" w:hAnsi="Calibri"/>
          <w:i w:val="0"/>
        </w:rPr>
        <w:t>This is required once per Python environment, or again after rebuilding the environment.</w:t>
      </w:r>
    </w:p>
    <w:p>
      <w:pPr>
        <w:spacing w:before="60" w:after="160" w:line="259" w:lineRule="auto"/>
        <w:ind w:left="317" w:right="317"/>
        <w:shd w:fill="F5F7FA"/>
      </w:pPr>
      <w:r>
        <w:rPr>
          <w:rFonts w:ascii="Consolas" w:hAnsi="Consolas"/>
          <w:color w:val="17365D"/>
          <w:sz w:val="18"/>
        </w:rPr>
        <w:t>py -m pip install -e ".[ibkr]"</w:t>
      </w:r>
    </w:p>
    <w:p>
      <w:pPr>
        <w:pStyle w:val="Heading1"/>
      </w:pPr>
      <w:r>
        <w:t>4. Acquire historical context data</w:t>
      </w:r>
    </w:p>
    <w:p>
      <w:pPr>
        <w:pStyle w:val="Heading2"/>
      </w:pPr>
      <w:r>
        <w:t>Step 1 - Run a SPY smoke test</w:t>
      </w:r>
    </w:p>
    <w:p>
      <w:pPr>
        <w:spacing w:before="60" w:after="160" w:line="259" w:lineRule="auto"/>
        <w:ind w:left="317" w:right="317"/>
        <w:shd w:fill="F5F7FA"/>
      </w:pPr>
      <w:r>
        <w:rPr>
          <w:rFonts w:ascii="Consolas" w:hAnsi="Consolas"/>
          <w:color w:val="17365D"/>
          <w:sz w:val="18"/>
        </w:rPr>
        <w:t>py fetch_ibkr_history.py --through 2026-08-21 --symbols SPY</w:t>
      </w:r>
    </w:p>
    <w:p>
      <w:pPr>
        <w:spacing w:after="120"/>
      </w:pPr>
      <w:r>
        <w:rPr>
          <w:rFonts w:ascii="Calibri" w:hAnsi="Calibri"/>
          <w:i w:val="0"/>
        </w:rPr>
        <w:t>The smoke test confirms that TWS is reachable, market-data permissions are sufficient, both historical series can be retrieved, and the CSV can be written.</w:t>
      </w:r>
    </w:p>
    <w:p>
      <w:pPr>
        <w:pStyle w:val="Heading2"/>
      </w:pPr>
      <w:r>
        <w:t>Step 2 - Review the SPY result</w:t>
      </w:r>
    </w:p>
    <w:p>
      <w:pPr>
        <w:spacing w:after="120"/>
      </w:pPr>
      <w:r>
        <w:rPr>
          <w:rFonts w:ascii="Calibri" w:hAnsi="Calibri"/>
          <w:i w:val="0"/>
        </w:rPr>
        <w:t>Confirm that the file has the exact header below and that the last row is the requested completed market date.</w:t>
      </w:r>
    </w:p>
    <w:p>
      <w:pPr>
        <w:spacing w:before="60" w:after="160" w:line="259" w:lineRule="auto"/>
        <w:ind w:left="317" w:right="317"/>
        <w:shd w:fill="F5F7FA"/>
      </w:pPr>
      <w:r>
        <w:rPr>
          <w:rFonts w:ascii="Consolas" w:hAnsi="Consolas"/>
          <w:color w:val="17365D"/>
          <w:sz w:val="18"/>
        </w:rPr>
        <w:t>Symbol,Date,Open,High,Low,Close,AdjustedClose,Volume</w:t>
      </w:r>
    </w:p>
    <w:p>
      <w:pPr>
        <w:pStyle w:val="Heading2"/>
      </w:pPr>
      <w:r>
        <w:t>Step 3 - Fetch all 14 approved context symbols</w:t>
      </w:r>
    </w:p>
    <w:p>
      <w:pPr>
        <w:spacing w:before="60" w:after="160" w:line="259" w:lineRule="auto"/>
        <w:ind w:left="317" w:right="317"/>
        <w:shd w:fill="F5F7FA"/>
      </w:pPr>
      <w:r>
        <w:rPr>
          <w:rFonts w:ascii="Consolas" w:hAnsi="Consolas"/>
          <w:color w:val="17365D"/>
          <w:sz w:val="18"/>
        </w:rPr>
        <w:t>py fetch_ibkr_history.py --through 2026-08-21</w:t>
      </w:r>
    </w:p>
    <w:p>
      <w:pPr>
        <w:pStyle w:val="Heading2"/>
      </w:pPr>
      <w:r>
        <w:t>Step 4 - Locate the output</w:t>
      </w:r>
    </w:p>
    <w:p>
      <w:pPr>
        <w:spacing w:before="60" w:after="160" w:line="259" w:lineRule="auto"/>
        <w:ind w:left="317" w:right="317"/>
        <w:shd w:fill="F5F7FA"/>
      </w:pPr>
      <w:r>
        <w:rPr>
          <w:rFonts w:ascii="Consolas" w:hAnsi="Consolas"/>
          <w:color w:val="17365D"/>
          <w:sz w:val="18"/>
        </w:rPr>
        <w:t>analytics-engine\input\2026-08-21\2026-08-21-context-daily-history.csv</w:t>
      </w:r>
    </w:p>
    <w:p>
      <w:pPr>
        <w:spacing w:after="120"/>
      </w:pPr>
      <w:r>
        <w:rPr>
          <w:rFonts w:ascii="Calibri" w:hAnsi="Calibri"/>
          <w:i w:val="0"/>
        </w:rPr>
        <w:t>The directory and filename are derived from --through. For a different completed market date, provide that date and the program creates the corresponding dated path.</w:t>
      </w:r>
    </w:p>
    <w:p>
      <w:pPr>
        <w:pStyle w:val="Heading2"/>
      </w:pPr>
      <w:r>
        <w:t>Important provider normalization</w:t>
      </w:r>
    </w:p>
    <w:p>
      <w:pPr>
        <w:pStyle w:val="ListBullet"/>
        <w:spacing w:after="80" w:line="300" w:lineRule="auto"/>
        <w:ind w:left="540" w:hanging="271"/>
      </w:pPr>
      <w:r>
        <w:rPr>
          <w:rFonts w:ascii="Calibri" w:hAnsi="Calibri"/>
        </w:rPr>
        <w:t>IBKR rejects an explicit historical end date for ADJUSTED_LAST. The program requests the latest adjusted window and removes dates after --through during the join.</w:t>
      </w:r>
    </w:p>
    <w:p>
      <w:pPr>
        <w:pStyle w:val="ListBullet"/>
        <w:spacing w:after="80" w:line="300" w:lineRule="auto"/>
        <w:ind w:left="540" w:hanging="271"/>
      </w:pPr>
      <w:r>
        <w:rPr>
          <w:rFonts w:ascii="Calibri" w:hAnsi="Calibri"/>
        </w:rPr>
        <w:t>In the validated API compatibility mode, U.S. ETF volume arrives in 100-share lots. The program converts it to shares.</w:t>
      </w:r>
    </w:p>
    <w:p>
      <w:pPr>
        <w:pStyle w:val="ListBullet"/>
        <w:spacing w:after="80" w:line="300" w:lineRule="auto"/>
        <w:ind w:left="540" w:hanging="271"/>
      </w:pPr>
      <w:r>
        <w:rPr>
          <w:rFonts w:ascii="Calibri" w:hAnsi="Calibri"/>
        </w:rPr>
        <w:t>IBKR historical volume is filtered and can differ from an unfiltered consolidated feed.</w:t>
      </w:r>
    </w:p>
    <w:p>
      <w:pPr>
        <w:pStyle w:val="ListBullet"/>
        <w:spacing w:after="80" w:line="300" w:lineRule="auto"/>
        <w:ind w:left="540" w:hanging="271"/>
      </w:pPr>
      <w:r>
        <w:rPr>
          <w:rFonts w:ascii="Calibri" w:hAnsi="Calibri"/>
        </w:rPr>
        <w:t>TRADES Close and ADJUSTED_LAST close remain separate columns; one is not silently substituted for the other.</w:t>
      </w:r>
    </w:p>
    <w:p>
      <w:r>
        <w:br w:type="page"/>
      </w:r>
    </w:p>
    <w:p>
      <w:pPr>
        <w:pStyle w:val="Heading1"/>
      </w:pPr>
      <w:r>
        <w:t>5. Validate the acquired CSV</w:t>
      </w:r>
    </w:p>
    <w:p>
      <w:pPr>
        <w:spacing w:after="120"/>
      </w:pPr>
      <w:r>
        <w:rPr>
          <w:rFonts w:ascii="Calibri" w:hAnsi="Calibri"/>
          <w:i w:val="0"/>
        </w:rPr>
        <w:t>Do not treat a successful download as sufficient. Validate the file before any analytical consumption.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pPr>
            <w:r>
              <w:rPr>
                <w:rFonts w:ascii="Calibri" w:hAnsi="Calibri"/>
                <w:b/>
                <w:color w:val="17365D"/>
                <w:sz w:val="20"/>
              </w:rPr>
              <w:t>Validation</w:t>
            </w:r>
          </w:p>
        </w:tc>
        <w:tc>
          <w:tcPr>
            <w:tcW w:type="dxa" w:w="6760"/>
            <w:shd w:fill="E8EEF5"/>
            <w:tcMar>
              <w:top w:w="80" w:type="dxa"/>
              <w:start w:w="120" w:type="dxa"/>
              <w:bottom w:w="80" w:type="dxa"/>
              <w:end w:w="120" w:type="dxa"/>
            </w:tcMar>
            <w:vAlign w:val="center"/>
          </w:tcPr>
          <w:p>
            <w:pPr>
              <w:spacing w:after="0"/>
            </w:pPr>
            <w:r>
              <w:rPr>
                <w:rFonts w:ascii="Calibri" w:hAnsi="Calibri"/>
                <w:b/>
                <w:color w:val="17365D"/>
                <w:sz w:val="20"/>
              </w:rPr>
              <w:t>Expected result</w:t>
            </w:r>
          </w:p>
        </w:tc>
      </w:tr>
      <w:tr>
        <w:tc>
          <w:tcPr>
            <w:tcW w:type="dxa" w:w="2600"/>
            <w:tcMar>
              <w:top w:w="80" w:type="dxa"/>
              <w:start w:w="120" w:type="dxa"/>
              <w:bottom w:w="80" w:type="dxa"/>
              <w:end w:w="120" w:type="dxa"/>
            </w:tcMar>
            <w:vAlign w:val="center"/>
          </w:tcPr>
          <w:p>
            <w:pPr>
              <w:spacing w:after="0"/>
            </w:pPr>
            <w:r>
              <w:rPr>
                <w:rFonts w:ascii="Calibri" w:hAnsi="Calibri"/>
                <w:sz w:val="19"/>
              </w:rPr>
              <w:t>Schema</w:t>
            </w:r>
          </w:p>
        </w:tc>
        <w:tc>
          <w:tcPr>
            <w:tcW w:type="dxa" w:w="6760"/>
            <w:tcMar>
              <w:top w:w="80" w:type="dxa"/>
              <w:start w:w="120" w:type="dxa"/>
              <w:bottom w:w="80" w:type="dxa"/>
              <w:end w:w="120" w:type="dxa"/>
            </w:tcMar>
            <w:vAlign w:val="center"/>
          </w:tcPr>
          <w:p>
            <w:pPr>
              <w:spacing w:after="0"/>
            </w:pPr>
            <w:r>
              <w:rPr>
                <w:rFonts w:ascii="Calibri" w:hAnsi="Calibri"/>
                <w:sz w:val="19"/>
              </w:rPr>
              <w:t>Exactly: Symbol, Date, Open, High, Low, Close, AdjustedClose, Volume</w:t>
            </w:r>
          </w:p>
        </w:tc>
      </w:tr>
      <w:tr>
        <w:tc>
          <w:tcPr>
            <w:tcW w:type="dxa" w:w="2600"/>
            <w:tcMar>
              <w:top w:w="80" w:type="dxa"/>
              <w:start w:w="120" w:type="dxa"/>
              <w:bottom w:w="80" w:type="dxa"/>
              <w:end w:w="120" w:type="dxa"/>
            </w:tcMar>
            <w:vAlign w:val="center"/>
          </w:tcPr>
          <w:p>
            <w:pPr>
              <w:spacing w:after="0"/>
            </w:pPr>
            <w:r>
              <w:rPr>
                <w:rFonts w:ascii="Calibri" w:hAnsi="Calibri"/>
                <w:sz w:val="19"/>
              </w:rPr>
              <w:t>Symbol set</w:t>
            </w:r>
          </w:p>
        </w:tc>
        <w:tc>
          <w:tcPr>
            <w:tcW w:type="dxa" w:w="6760"/>
            <w:tcMar>
              <w:top w:w="80" w:type="dxa"/>
              <w:start w:w="120" w:type="dxa"/>
              <w:bottom w:w="80" w:type="dxa"/>
              <w:end w:w="120" w:type="dxa"/>
            </w:tcMar>
            <w:vAlign w:val="center"/>
          </w:tcPr>
          <w:p>
            <w:pPr>
              <w:spacing w:after="0"/>
            </w:pPr>
            <w:r>
              <w:rPr>
                <w:rFonts w:ascii="Calibri" w:hAnsi="Calibri"/>
                <w:sz w:val="19"/>
              </w:rPr>
              <w:t>Exactly 14 approved symbols for the full acquisition</w:t>
            </w:r>
          </w:p>
        </w:tc>
      </w:tr>
      <w:tr>
        <w:tc>
          <w:tcPr>
            <w:tcW w:type="dxa" w:w="2600"/>
            <w:tcMar>
              <w:top w:w="80" w:type="dxa"/>
              <w:start w:w="120" w:type="dxa"/>
              <w:bottom w:w="80" w:type="dxa"/>
              <w:end w:w="120" w:type="dxa"/>
            </w:tcMar>
            <w:vAlign w:val="center"/>
          </w:tcPr>
          <w:p>
            <w:pPr>
              <w:spacing w:after="0"/>
            </w:pPr>
            <w:r>
              <w:rPr>
                <w:rFonts w:ascii="Calibri" w:hAnsi="Calibri"/>
                <w:sz w:val="19"/>
              </w:rPr>
              <w:t>Uniqueness</w:t>
            </w:r>
          </w:p>
        </w:tc>
        <w:tc>
          <w:tcPr>
            <w:tcW w:type="dxa" w:w="6760"/>
            <w:tcMar>
              <w:top w:w="80" w:type="dxa"/>
              <w:start w:w="120" w:type="dxa"/>
              <w:bottom w:w="80" w:type="dxa"/>
              <w:end w:w="120" w:type="dxa"/>
            </w:tcMar>
            <w:vAlign w:val="center"/>
          </w:tcPr>
          <w:p>
            <w:pPr>
              <w:spacing w:after="0"/>
            </w:pPr>
            <w:r>
              <w:rPr>
                <w:rFonts w:ascii="Calibri" w:hAnsi="Calibri"/>
                <w:sz w:val="19"/>
              </w:rPr>
              <w:t>No duplicate Symbol + Date keys</w:t>
            </w:r>
          </w:p>
        </w:tc>
      </w:tr>
      <w:tr>
        <w:tc>
          <w:tcPr>
            <w:tcW w:type="dxa" w:w="2600"/>
            <w:tcMar>
              <w:top w:w="80" w:type="dxa"/>
              <w:start w:w="120" w:type="dxa"/>
              <w:bottom w:w="80" w:type="dxa"/>
              <w:end w:w="120" w:type="dxa"/>
            </w:tcMar>
            <w:vAlign w:val="center"/>
          </w:tcPr>
          <w:p>
            <w:pPr>
              <w:spacing w:after="0"/>
            </w:pPr>
            <w:r>
              <w:rPr>
                <w:rFonts w:ascii="Calibri" w:hAnsi="Calibri"/>
                <w:sz w:val="19"/>
              </w:rPr>
              <w:t>Market-date boundary</w:t>
            </w:r>
          </w:p>
        </w:tc>
        <w:tc>
          <w:tcPr>
            <w:tcW w:type="dxa" w:w="6760"/>
            <w:tcMar>
              <w:top w:w="80" w:type="dxa"/>
              <w:start w:w="120" w:type="dxa"/>
              <w:bottom w:w="80" w:type="dxa"/>
              <w:end w:w="120" w:type="dxa"/>
            </w:tcMar>
            <w:vAlign w:val="center"/>
          </w:tcPr>
          <w:p>
            <w:pPr>
              <w:spacing w:after="0"/>
            </w:pPr>
            <w:r>
              <w:rPr>
                <w:rFonts w:ascii="Calibri" w:hAnsi="Calibri"/>
                <w:sz w:val="19"/>
              </w:rPr>
              <w:t>No row later than --through; every series ends on the approved completed date</w:t>
            </w:r>
          </w:p>
        </w:tc>
      </w:tr>
      <w:tr>
        <w:tc>
          <w:tcPr>
            <w:tcW w:type="dxa" w:w="2600"/>
            <w:tcMar>
              <w:top w:w="80" w:type="dxa"/>
              <w:start w:w="120" w:type="dxa"/>
              <w:bottom w:w="80" w:type="dxa"/>
              <w:end w:w="120" w:type="dxa"/>
            </w:tcMar>
            <w:vAlign w:val="center"/>
          </w:tcPr>
          <w:p>
            <w:pPr>
              <w:spacing w:after="0"/>
            </w:pPr>
            <w:r>
              <w:rPr>
                <w:rFonts w:ascii="Calibri" w:hAnsi="Calibri"/>
                <w:sz w:val="19"/>
              </w:rPr>
              <w:t>History</w:t>
            </w:r>
          </w:p>
        </w:tc>
        <w:tc>
          <w:tcPr>
            <w:tcW w:type="dxa" w:w="6760"/>
            <w:tcMar>
              <w:top w:w="80" w:type="dxa"/>
              <w:start w:w="120" w:type="dxa"/>
              <w:bottom w:w="80" w:type="dxa"/>
              <w:end w:w="120" w:type="dxa"/>
            </w:tcMar>
            <w:vAlign w:val="center"/>
          </w:tcPr>
          <w:p>
            <w:pPr>
              <w:spacing w:after="0"/>
            </w:pPr>
            <w:r>
              <w:rPr>
                <w:rFonts w:ascii="Calibri" w:hAnsi="Calibri"/>
                <w:sz w:val="19"/>
              </w:rPr>
              <w:t>At least two completed years through the target, with additional warmup allowed</w:t>
            </w:r>
          </w:p>
        </w:tc>
      </w:tr>
      <w:tr>
        <w:tc>
          <w:tcPr>
            <w:tcW w:type="dxa" w:w="2600"/>
            <w:tcMar>
              <w:top w:w="80" w:type="dxa"/>
              <w:start w:w="120" w:type="dxa"/>
              <w:bottom w:w="80" w:type="dxa"/>
              <w:end w:w="120" w:type="dxa"/>
            </w:tcMar>
            <w:vAlign w:val="center"/>
          </w:tcPr>
          <w:p>
            <w:pPr>
              <w:spacing w:after="0"/>
            </w:pPr>
            <w:r>
              <w:rPr>
                <w:rFonts w:ascii="Calibri" w:hAnsi="Calibri"/>
                <w:sz w:val="19"/>
              </w:rPr>
              <w:t>OHLC sanity</w:t>
            </w:r>
          </w:p>
        </w:tc>
        <w:tc>
          <w:tcPr>
            <w:tcW w:type="dxa" w:w="6760"/>
            <w:tcMar>
              <w:top w:w="80" w:type="dxa"/>
              <w:start w:w="120" w:type="dxa"/>
              <w:bottom w:w="80" w:type="dxa"/>
              <w:end w:w="120" w:type="dxa"/>
            </w:tcMar>
            <w:vAlign w:val="center"/>
          </w:tcPr>
          <w:p>
            <w:pPr>
              <w:spacing w:after="0"/>
            </w:pPr>
            <w:r>
              <w:rPr>
                <w:rFonts w:ascii="Calibri" w:hAnsi="Calibri"/>
                <w:sz w:val="19"/>
              </w:rPr>
              <w:t>Positive prices; Low is not greater than High</w:t>
            </w:r>
          </w:p>
        </w:tc>
      </w:tr>
      <w:tr>
        <w:tc>
          <w:tcPr>
            <w:tcW w:type="dxa" w:w="2600"/>
            <w:tcMar>
              <w:top w:w="80" w:type="dxa"/>
              <w:start w:w="120" w:type="dxa"/>
              <w:bottom w:w="80" w:type="dxa"/>
              <w:end w:w="120" w:type="dxa"/>
            </w:tcMar>
            <w:vAlign w:val="center"/>
          </w:tcPr>
          <w:p>
            <w:pPr>
              <w:spacing w:after="0"/>
            </w:pPr>
            <w:r>
              <w:rPr>
                <w:rFonts w:ascii="Calibri" w:hAnsi="Calibri"/>
                <w:sz w:val="19"/>
              </w:rPr>
              <w:t>Volume</w:t>
            </w:r>
          </w:p>
        </w:tc>
        <w:tc>
          <w:tcPr>
            <w:tcW w:type="dxa" w:w="6760"/>
            <w:tcMar>
              <w:top w:w="80" w:type="dxa"/>
              <w:start w:w="120" w:type="dxa"/>
              <w:bottom w:w="80" w:type="dxa"/>
              <w:end w:w="120" w:type="dxa"/>
            </w:tcMar>
            <w:vAlign w:val="center"/>
          </w:tcPr>
          <w:p>
            <w:pPr>
              <w:spacing w:after="0"/>
            </w:pPr>
            <w:r>
              <w:rPr>
                <w:rFonts w:ascii="Calibri" w:hAnsi="Calibri"/>
                <w:sz w:val="19"/>
              </w:rPr>
              <w:t>Nonnegative whole shares; never invent missing values as zero</w:t>
            </w:r>
          </w:p>
        </w:tc>
      </w:tr>
      <w:tr>
        <w:tc>
          <w:tcPr>
            <w:tcW w:type="dxa" w:w="2600"/>
            <w:tcMar>
              <w:top w:w="80" w:type="dxa"/>
              <w:start w:w="120" w:type="dxa"/>
              <w:bottom w:w="80" w:type="dxa"/>
              <w:end w:w="120" w:type="dxa"/>
            </w:tcMar>
            <w:vAlign w:val="center"/>
          </w:tcPr>
          <w:p>
            <w:pPr>
              <w:spacing w:after="0"/>
            </w:pPr>
            <w:r>
              <w:rPr>
                <w:rFonts w:ascii="Calibri" w:hAnsi="Calibri"/>
                <w:sz w:val="19"/>
              </w:rPr>
              <w:t>Repository safety</w:t>
            </w:r>
          </w:p>
        </w:tc>
        <w:tc>
          <w:tcPr>
            <w:tcW w:type="dxa" w:w="6760"/>
            <w:tcMar>
              <w:top w:w="80" w:type="dxa"/>
              <w:start w:w="120" w:type="dxa"/>
              <w:bottom w:w="80" w:type="dxa"/>
              <w:end w:w="120" w:type="dxa"/>
            </w:tcMar>
            <w:vAlign w:val="center"/>
          </w:tcPr>
          <w:p>
            <w:pPr>
              <w:spacing w:after="0"/>
            </w:pPr>
            <w:r>
              <w:rPr>
                <w:rFonts w:ascii="Calibri" w:hAnsi="Calibri"/>
                <w:sz w:val="19"/>
              </w:rPr>
              <w:t>CSV remains ignored and is not staged or committed</w:t>
            </w:r>
          </w:p>
        </w:tc>
      </w:tr>
    </w:tbl>
    <w:p>
      <w:pPr>
        <w:spacing w:after="0"/>
      </w:pPr>
    </w:p>
    <w:p>
      <w:pPr>
        <w:pStyle w:val="Heading2"/>
      </w:pPr>
      <w:r>
        <w:t>Validated August 21, 2026 acquisition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pPr>
            <w:r>
              <w:rPr>
                <w:rFonts w:ascii="Calibri" w:hAnsi="Calibri"/>
                <w:b/>
                <w:color w:val="17365D"/>
                <w:sz w:val="20"/>
              </w:rPr>
              <w:t>Measure</w:t>
            </w:r>
          </w:p>
        </w:tc>
        <w:tc>
          <w:tcPr>
            <w:tcW w:type="dxa" w:w="6760"/>
            <w:shd w:fill="E8EEF5"/>
            <w:tcMar>
              <w:top w:w="80" w:type="dxa"/>
              <w:start w:w="120" w:type="dxa"/>
              <w:bottom w:w="80" w:type="dxa"/>
              <w:end w:w="120" w:type="dxa"/>
            </w:tcMar>
            <w:vAlign w:val="center"/>
          </w:tcPr>
          <w:p>
            <w:pPr>
              <w:spacing w:after="0"/>
            </w:pPr>
            <w:r>
              <w:rPr>
                <w:rFonts w:ascii="Calibri" w:hAnsi="Calibri"/>
                <w:b/>
                <w:color w:val="17365D"/>
                <w:sz w:val="20"/>
              </w:rPr>
              <w:t>Observed result</w:t>
            </w:r>
          </w:p>
        </w:tc>
      </w:tr>
      <w:tr>
        <w:tc>
          <w:tcPr>
            <w:tcW w:type="dxa" w:w="2600"/>
            <w:tcMar>
              <w:top w:w="80" w:type="dxa"/>
              <w:start w:w="120" w:type="dxa"/>
              <w:bottom w:w="80" w:type="dxa"/>
              <w:end w:w="120" w:type="dxa"/>
            </w:tcMar>
            <w:vAlign w:val="center"/>
          </w:tcPr>
          <w:p>
            <w:pPr>
              <w:spacing w:after="0"/>
            </w:pPr>
            <w:r>
              <w:rPr>
                <w:rFonts w:ascii="Calibri" w:hAnsi="Calibri"/>
                <w:sz w:val="19"/>
              </w:rPr>
              <w:t>Symbols</w:t>
            </w:r>
          </w:p>
        </w:tc>
        <w:tc>
          <w:tcPr>
            <w:tcW w:type="dxa" w:w="6760"/>
            <w:tcMar>
              <w:top w:w="80" w:type="dxa"/>
              <w:start w:w="120" w:type="dxa"/>
              <w:bottom w:w="80" w:type="dxa"/>
              <w:end w:w="120" w:type="dxa"/>
            </w:tcMar>
            <w:vAlign w:val="center"/>
          </w:tcPr>
          <w:p>
            <w:pPr>
              <w:spacing w:after="0"/>
            </w:pPr>
            <w:r>
              <w:rPr>
                <w:rFonts w:ascii="Calibri" w:hAnsi="Calibri"/>
                <w:sz w:val="19"/>
              </w:rPr>
              <w:t>14</w:t>
            </w:r>
          </w:p>
        </w:tc>
      </w:tr>
      <w:tr>
        <w:tc>
          <w:tcPr>
            <w:tcW w:type="dxa" w:w="2600"/>
            <w:tcMar>
              <w:top w:w="80" w:type="dxa"/>
              <w:start w:w="120" w:type="dxa"/>
              <w:bottom w:w="80" w:type="dxa"/>
              <w:end w:w="120" w:type="dxa"/>
            </w:tcMar>
            <w:vAlign w:val="center"/>
          </w:tcPr>
          <w:p>
            <w:pPr>
              <w:spacing w:after="0"/>
            </w:pPr>
            <w:r>
              <w:rPr>
                <w:rFonts w:ascii="Calibri" w:hAnsi="Calibri"/>
                <w:sz w:val="19"/>
              </w:rPr>
              <w:t>Rows</w:t>
            </w:r>
          </w:p>
        </w:tc>
        <w:tc>
          <w:tcPr>
            <w:tcW w:type="dxa" w:w="6760"/>
            <w:tcMar>
              <w:top w:w="80" w:type="dxa"/>
              <w:start w:w="120" w:type="dxa"/>
              <w:bottom w:w="80" w:type="dxa"/>
              <w:end w:w="120" w:type="dxa"/>
            </w:tcMar>
            <w:vAlign w:val="center"/>
          </w:tcPr>
          <w:p>
            <w:pPr>
              <w:spacing w:after="0"/>
            </w:pPr>
            <w:r>
              <w:rPr>
                <w:rFonts w:ascii="Calibri" w:hAnsi="Calibri"/>
                <w:sz w:val="19"/>
              </w:rPr>
              <w:t>10,416</w:t>
            </w:r>
          </w:p>
        </w:tc>
      </w:tr>
      <w:tr>
        <w:tc>
          <w:tcPr>
            <w:tcW w:type="dxa" w:w="2600"/>
            <w:tcMar>
              <w:top w:w="80" w:type="dxa"/>
              <w:start w:w="120" w:type="dxa"/>
              <w:bottom w:w="80" w:type="dxa"/>
              <w:end w:w="120" w:type="dxa"/>
            </w:tcMar>
            <w:vAlign w:val="center"/>
          </w:tcPr>
          <w:p>
            <w:pPr>
              <w:spacing w:after="0"/>
            </w:pPr>
            <w:r>
              <w:rPr>
                <w:rFonts w:ascii="Calibri" w:hAnsi="Calibri"/>
                <w:sz w:val="19"/>
              </w:rPr>
              <w:t>Rows per symbol</w:t>
            </w:r>
          </w:p>
        </w:tc>
        <w:tc>
          <w:tcPr>
            <w:tcW w:type="dxa" w:w="6760"/>
            <w:tcMar>
              <w:top w:w="80" w:type="dxa"/>
              <w:start w:w="120" w:type="dxa"/>
              <w:bottom w:w="80" w:type="dxa"/>
              <w:end w:w="120" w:type="dxa"/>
            </w:tcMar>
            <w:vAlign w:val="center"/>
          </w:tcPr>
          <w:p>
            <w:pPr>
              <w:spacing w:after="0"/>
            </w:pPr>
            <w:r>
              <w:rPr>
                <w:rFonts w:ascii="Calibri" w:hAnsi="Calibri"/>
                <w:sz w:val="19"/>
              </w:rPr>
              <w:t>744</w:t>
            </w:r>
          </w:p>
        </w:tc>
      </w:tr>
      <w:tr>
        <w:tc>
          <w:tcPr>
            <w:tcW w:type="dxa" w:w="2600"/>
            <w:tcMar>
              <w:top w:w="80" w:type="dxa"/>
              <w:start w:w="120" w:type="dxa"/>
              <w:bottom w:w="80" w:type="dxa"/>
              <w:end w:w="120" w:type="dxa"/>
            </w:tcMar>
            <w:vAlign w:val="center"/>
          </w:tcPr>
          <w:p>
            <w:pPr>
              <w:spacing w:after="0"/>
            </w:pPr>
            <w:r>
              <w:rPr>
                <w:rFonts w:ascii="Calibri" w:hAnsi="Calibri"/>
                <w:sz w:val="19"/>
              </w:rPr>
              <w:t>Date range</w:t>
            </w:r>
          </w:p>
        </w:tc>
        <w:tc>
          <w:tcPr>
            <w:tcW w:type="dxa" w:w="6760"/>
            <w:tcMar>
              <w:top w:w="80" w:type="dxa"/>
              <w:start w:w="120" w:type="dxa"/>
              <w:bottom w:w="80" w:type="dxa"/>
              <w:end w:w="120" w:type="dxa"/>
            </w:tcMar>
            <w:vAlign w:val="center"/>
          </w:tcPr>
          <w:p>
            <w:pPr>
              <w:spacing w:after="0"/>
            </w:pPr>
            <w:r>
              <w:rPr>
                <w:rFonts w:ascii="Calibri" w:hAnsi="Calibri"/>
                <w:sz w:val="19"/>
              </w:rPr>
              <w:t>2023-09-05 through 2026-08-21</w:t>
            </w:r>
          </w:p>
        </w:tc>
      </w:tr>
      <w:tr>
        <w:tc>
          <w:tcPr>
            <w:tcW w:type="dxa" w:w="2600"/>
            <w:tcMar>
              <w:top w:w="80" w:type="dxa"/>
              <w:start w:w="120" w:type="dxa"/>
              <w:bottom w:w="80" w:type="dxa"/>
              <w:end w:w="120" w:type="dxa"/>
            </w:tcMar>
            <w:vAlign w:val="center"/>
          </w:tcPr>
          <w:p>
            <w:pPr>
              <w:spacing w:after="0"/>
            </w:pPr>
            <w:r>
              <w:rPr>
                <w:rFonts w:ascii="Calibri" w:hAnsi="Calibri"/>
                <w:sz w:val="19"/>
              </w:rPr>
              <w:t>Duplicate keys</w:t>
            </w:r>
          </w:p>
        </w:tc>
        <w:tc>
          <w:tcPr>
            <w:tcW w:type="dxa" w:w="6760"/>
            <w:tcMar>
              <w:top w:w="80" w:type="dxa"/>
              <w:start w:w="120" w:type="dxa"/>
              <w:bottom w:w="80" w:type="dxa"/>
              <w:end w:w="120" w:type="dxa"/>
            </w:tcMar>
            <w:vAlign w:val="center"/>
          </w:tcPr>
          <w:p>
            <w:pPr>
              <w:spacing w:after="0"/>
            </w:pPr>
            <w:r>
              <w:rPr>
                <w:rFonts w:ascii="Calibri" w:hAnsi="Calibri"/>
                <w:sz w:val="19"/>
              </w:rPr>
              <w:t>0</w:t>
            </w:r>
          </w:p>
        </w:tc>
      </w:tr>
      <w:tr>
        <w:tc>
          <w:tcPr>
            <w:tcW w:type="dxa" w:w="2600"/>
            <w:tcMar>
              <w:top w:w="80" w:type="dxa"/>
              <w:start w:w="120" w:type="dxa"/>
              <w:bottom w:w="80" w:type="dxa"/>
              <w:end w:w="120" w:type="dxa"/>
            </w:tcMar>
            <w:vAlign w:val="center"/>
          </w:tcPr>
          <w:p>
            <w:pPr>
              <w:spacing w:after="0"/>
            </w:pPr>
            <w:r>
              <w:rPr>
                <w:rFonts w:ascii="Calibri" w:hAnsi="Calibri"/>
                <w:sz w:val="19"/>
              </w:rPr>
              <w:t>Invalid OHLC rows</w:t>
            </w:r>
          </w:p>
        </w:tc>
        <w:tc>
          <w:tcPr>
            <w:tcW w:type="dxa" w:w="6760"/>
            <w:tcMar>
              <w:top w:w="80" w:type="dxa"/>
              <w:start w:w="120" w:type="dxa"/>
              <w:bottom w:w="80" w:type="dxa"/>
              <w:end w:w="120" w:type="dxa"/>
            </w:tcMar>
            <w:vAlign w:val="center"/>
          </w:tcPr>
          <w:p>
            <w:pPr>
              <w:spacing w:after="0"/>
            </w:pPr>
            <w:r>
              <w:rPr>
                <w:rFonts w:ascii="Calibri" w:hAnsi="Calibri"/>
                <w:sz w:val="19"/>
              </w:rPr>
              <w:t>0</w:t>
            </w:r>
          </w:p>
        </w:tc>
      </w:tr>
    </w:tbl>
    <w:p>
      <w:pPr>
        <w:spacing w:after="0"/>
      </w:pPr>
    </w:p>
    <w:p>
      <w:pPr>
        <w:pStyle w:val="Heading1"/>
      </w:pPr>
      <w:r>
        <w:t>6. Candidate 2's current data consumption</w:t>
      </w:r>
    </w:p>
    <w:p>
      <w:pPr>
        <w:spacing w:after="120"/>
      </w:pPr>
      <w:r>
        <w:rPr>
          <w:rFonts w:ascii="Calibri" w:hAnsi="Calibri"/>
          <w:i w:val="0"/>
        </w:rPr>
        <w:t>Candidate 2 currently consumes the Thinkorswim symbol-evidence CSV through its v2 adapter. That input contains symbol-level technical observations such as Stellar Evidence states across timeframes, Orbit states, ADX, implied volatility, and moving averages.</w:t>
      </w:r>
    </w:p>
    <w:tbl>
      <w:tblPr>
        <w:tblStyle w:val="TableGrid"/>
        <w:tblW w:type="dxa" w:w="9360"/>
        <w:jc w:val="left"/>
        <w:tblLayout w:type="fixed"/>
        <w:tblLook w:firstColumn="1" w:firstRow="1" w:lastColumn="0" w:lastRow="0" w:noHBand="0" w:noVBand="1" w:val="04A0"/>
        <w:tblInd w:w="120" w:type="dxa"/>
      </w:tblPr>
      <w:tblGrid>
        <w:gridCol w:w="3700"/>
        <w:gridCol w:w="5660"/>
      </w:tblGrid>
      <w:tr>
        <w:trPr>
          <w:tblHeader w:val="true"/>
        </w:trPr>
        <w:tc>
          <w:tcPr>
            <w:tcW w:type="dxa" w:w="3700"/>
            <w:shd w:fill="E8EEF5"/>
            <w:tcMar>
              <w:top w:w="80" w:type="dxa"/>
              <w:start w:w="120" w:type="dxa"/>
              <w:bottom w:w="80" w:type="dxa"/>
              <w:end w:w="120" w:type="dxa"/>
            </w:tcMar>
            <w:vAlign w:val="center"/>
          </w:tcPr>
          <w:p>
            <w:pPr>
              <w:spacing w:after="0"/>
            </w:pPr>
            <w:r>
              <w:rPr>
                <w:rFonts w:ascii="Calibri" w:hAnsi="Calibri"/>
                <w:b/>
                <w:color w:val="17365D"/>
                <w:sz w:val="20"/>
              </w:rPr>
              <w:t>Current input</w:t>
            </w:r>
          </w:p>
        </w:tc>
        <w:tc>
          <w:tcPr>
            <w:tcW w:type="dxa" w:w="5660"/>
            <w:shd w:fill="E8EEF5"/>
            <w:tcMar>
              <w:top w:w="80" w:type="dxa"/>
              <w:start w:w="120" w:type="dxa"/>
              <w:bottom w:w="80" w:type="dxa"/>
              <w:end w:w="120" w:type="dxa"/>
            </w:tcMar>
            <w:vAlign w:val="center"/>
          </w:tcPr>
          <w:p>
            <w:pPr>
              <w:spacing w:after="0"/>
            </w:pPr>
            <w:r>
              <w:rPr>
                <w:rFonts w:ascii="Calibri" w:hAnsi="Calibri"/>
                <w:b/>
                <w:color w:val="17365D"/>
                <w:sz w:val="20"/>
              </w:rPr>
              <w:t>Current analytical use</w:t>
            </w:r>
          </w:p>
        </w:tc>
      </w:tr>
      <w:tr>
        <w:tc>
          <w:tcPr>
            <w:tcW w:type="dxa" w:w="3700"/>
            <w:tcMar>
              <w:top w:w="80" w:type="dxa"/>
              <w:start w:w="120" w:type="dxa"/>
              <w:bottom w:w="80" w:type="dxa"/>
              <w:end w:w="120" w:type="dxa"/>
            </w:tcMar>
            <w:vAlign w:val="center"/>
          </w:tcPr>
          <w:p>
            <w:pPr>
              <w:spacing w:after="0"/>
            </w:pPr>
            <w:r>
              <w:rPr>
                <w:rFonts w:ascii="Calibri" w:hAnsi="Calibri"/>
                <w:sz w:val="19"/>
              </w:rPr>
              <w:t>Daily, weekly, and monthly Stellar Evidence</w:t>
            </w:r>
          </w:p>
        </w:tc>
        <w:tc>
          <w:tcPr>
            <w:tcW w:type="dxa" w:w="5660"/>
            <w:tcMar>
              <w:top w:w="80" w:type="dxa"/>
              <w:start w:w="120" w:type="dxa"/>
              <w:bottom w:w="80" w:type="dxa"/>
              <w:end w:w="120" w:type="dxa"/>
            </w:tcMar>
            <w:vAlign w:val="center"/>
          </w:tcPr>
          <w:p>
            <w:pPr>
              <w:spacing w:after="0"/>
            </w:pPr>
            <w:r>
              <w:rPr>
                <w:rFonts w:ascii="Calibri" w:hAnsi="Calibri"/>
                <w:sz w:val="19"/>
              </w:rPr>
              <w:t>Direction and multi-timeframe alignment</w:t>
            </w:r>
          </w:p>
        </w:tc>
      </w:tr>
      <w:tr>
        <w:tc>
          <w:tcPr>
            <w:tcW w:type="dxa" w:w="3700"/>
            <w:tcMar>
              <w:top w:w="80" w:type="dxa"/>
              <w:start w:w="120" w:type="dxa"/>
              <w:bottom w:w="80" w:type="dxa"/>
              <w:end w:w="120" w:type="dxa"/>
            </w:tcMar>
            <w:vAlign w:val="center"/>
          </w:tcPr>
          <w:p>
            <w:pPr>
              <w:spacing w:after="0"/>
            </w:pPr>
            <w:r>
              <w:rPr>
                <w:rFonts w:ascii="Calibri" w:hAnsi="Calibri"/>
                <w:sz w:val="19"/>
              </w:rPr>
              <w:t>Daily and weekly Stellar Orbit</w:t>
            </w:r>
          </w:p>
        </w:tc>
        <w:tc>
          <w:tcPr>
            <w:tcW w:type="dxa" w:w="5660"/>
            <w:tcMar>
              <w:top w:w="80" w:type="dxa"/>
              <w:start w:w="120" w:type="dxa"/>
              <w:bottom w:w="80" w:type="dxa"/>
              <w:end w:w="120" w:type="dxa"/>
            </w:tcMar>
            <w:vAlign w:val="center"/>
          </w:tcPr>
          <w:p>
            <w:pPr>
              <w:spacing w:after="0"/>
            </w:pPr>
            <w:r>
              <w:rPr>
                <w:rFonts w:ascii="Calibri" w:hAnsi="Calibri"/>
                <w:sz w:val="19"/>
              </w:rPr>
              <w:t>Momentum/orbit context</w:t>
            </w:r>
          </w:p>
        </w:tc>
      </w:tr>
      <w:tr>
        <w:tc>
          <w:tcPr>
            <w:tcW w:type="dxa" w:w="3700"/>
            <w:tcMar>
              <w:top w:w="80" w:type="dxa"/>
              <w:start w:w="120" w:type="dxa"/>
              <w:bottom w:w="80" w:type="dxa"/>
              <w:end w:w="120" w:type="dxa"/>
            </w:tcMar>
            <w:vAlign w:val="center"/>
          </w:tcPr>
          <w:p>
            <w:pPr>
              <w:spacing w:after="0"/>
            </w:pPr>
            <w:r>
              <w:rPr>
                <w:rFonts w:ascii="Calibri" w:hAnsi="Calibri"/>
                <w:sz w:val="19"/>
              </w:rPr>
              <w:t>ADX</w:t>
            </w:r>
          </w:p>
        </w:tc>
        <w:tc>
          <w:tcPr>
            <w:tcW w:type="dxa" w:w="5660"/>
            <w:tcMar>
              <w:top w:w="80" w:type="dxa"/>
              <w:start w:w="120" w:type="dxa"/>
              <w:bottom w:w="80" w:type="dxa"/>
              <w:end w:w="120" w:type="dxa"/>
            </w:tcMar>
            <w:vAlign w:val="center"/>
          </w:tcPr>
          <w:p>
            <w:pPr>
              <w:spacing w:after="0"/>
            </w:pPr>
            <w:r>
              <w:rPr>
                <w:rFonts w:ascii="Calibri" w:hAnsi="Calibri"/>
                <w:sz w:val="19"/>
              </w:rPr>
              <w:t>Trend-strength evidence</w:t>
            </w:r>
          </w:p>
        </w:tc>
      </w:tr>
      <w:tr>
        <w:tc>
          <w:tcPr>
            <w:tcW w:type="dxa" w:w="3700"/>
            <w:tcMar>
              <w:top w:w="80" w:type="dxa"/>
              <w:start w:w="120" w:type="dxa"/>
              <w:bottom w:w="80" w:type="dxa"/>
              <w:end w:w="120" w:type="dxa"/>
            </w:tcMar>
            <w:vAlign w:val="center"/>
          </w:tcPr>
          <w:p>
            <w:pPr>
              <w:spacing w:after="0"/>
            </w:pPr>
            <w:r>
              <w:rPr>
                <w:rFonts w:ascii="Calibri" w:hAnsi="Calibri"/>
                <w:sz w:val="19"/>
              </w:rPr>
              <w:t>Implied volatility</w:t>
            </w:r>
          </w:p>
        </w:tc>
        <w:tc>
          <w:tcPr>
            <w:tcW w:type="dxa" w:w="5660"/>
            <w:tcMar>
              <w:top w:w="80" w:type="dxa"/>
              <w:start w:w="120" w:type="dxa"/>
              <w:bottom w:w="80" w:type="dxa"/>
              <w:end w:w="120" w:type="dxa"/>
            </w:tcMar>
            <w:vAlign w:val="center"/>
          </w:tcPr>
          <w:p>
            <w:pPr>
              <w:spacing w:after="0"/>
            </w:pPr>
            <w:r>
              <w:rPr>
                <w:rFonts w:ascii="Calibri" w:hAnsi="Calibri"/>
                <w:sz w:val="19"/>
              </w:rPr>
              <w:t>Volatility context</w:t>
            </w:r>
          </w:p>
        </w:tc>
      </w:tr>
      <w:tr>
        <w:tc>
          <w:tcPr>
            <w:tcW w:type="dxa" w:w="3700"/>
            <w:tcMar>
              <w:top w:w="80" w:type="dxa"/>
              <w:start w:w="120" w:type="dxa"/>
              <w:bottom w:w="80" w:type="dxa"/>
              <w:end w:w="120" w:type="dxa"/>
            </w:tcMar>
            <w:vAlign w:val="center"/>
          </w:tcPr>
          <w:p>
            <w:pPr>
              <w:spacing w:after="0"/>
            </w:pPr>
            <w:r>
              <w:rPr>
                <w:rFonts w:ascii="Calibri" w:hAnsi="Calibri"/>
                <w:sz w:val="19"/>
              </w:rPr>
              <w:t>SMA200, SMA50, EMA21</w:t>
            </w:r>
          </w:p>
        </w:tc>
        <w:tc>
          <w:tcPr>
            <w:tcW w:type="dxa" w:w="5660"/>
            <w:tcMar>
              <w:top w:w="80" w:type="dxa"/>
              <w:start w:w="120" w:type="dxa"/>
              <w:bottom w:w="80" w:type="dxa"/>
              <w:end w:w="120" w:type="dxa"/>
            </w:tcMar>
            <w:vAlign w:val="center"/>
          </w:tcPr>
          <w:p>
            <w:pPr>
              <w:spacing w:after="0"/>
            </w:pPr>
            <w:r>
              <w:rPr>
                <w:rFonts w:ascii="Calibri" w:hAnsi="Calibri"/>
                <w:sz w:val="19"/>
              </w:rPr>
              <w:t>Price-location and trend evidence</w:t>
            </w:r>
          </w:p>
        </w:tc>
      </w:tr>
    </w:tbl>
    <w:p>
      <w:pPr>
        <w:spacing w:after="0"/>
      </w:pPr>
    </w:p>
    <w:p>
      <w:pPr>
        <w:pStyle w:val="Heading2"/>
      </w:pPr>
      <w:r>
        <w:t>Current Candidate 2 outputs</w:t>
      </w:r>
    </w:p>
    <w:p>
      <w:pPr>
        <w:pStyle w:val="ListBullet"/>
        <w:spacing w:after="80" w:line="300" w:lineRule="auto"/>
        <w:ind w:left="540" w:hanging="271"/>
      </w:pPr>
      <w:r>
        <w:rPr>
          <w:rFonts w:ascii="Calibri" w:hAnsi="Calibri"/>
        </w:rPr>
        <w:t>bullish</w:t>
      </w:r>
    </w:p>
    <w:p>
      <w:pPr>
        <w:pStyle w:val="ListBullet"/>
        <w:spacing w:after="80" w:line="300" w:lineRule="auto"/>
        <w:ind w:left="540" w:hanging="271"/>
      </w:pPr>
      <w:r>
        <w:rPr>
          <w:rFonts w:ascii="Calibri" w:hAnsi="Calibri"/>
        </w:rPr>
        <w:t>bearish</w:t>
      </w:r>
    </w:p>
    <w:p>
      <w:pPr>
        <w:pStyle w:val="ListBullet"/>
        <w:spacing w:after="80" w:line="300" w:lineRule="auto"/>
        <w:ind w:left="540" w:hanging="271"/>
      </w:pPr>
      <w:r>
        <w:rPr>
          <w:rFonts w:ascii="Calibri" w:hAnsi="Calibri"/>
        </w:rPr>
        <w:t>bullish_watch</w:t>
      </w:r>
    </w:p>
    <w:p>
      <w:pPr>
        <w:pStyle w:val="ListBullet"/>
        <w:spacing w:after="80" w:line="300" w:lineRule="auto"/>
        <w:ind w:left="540" w:hanging="271"/>
      </w:pPr>
      <w:r>
        <w:rPr>
          <w:rFonts w:ascii="Calibri" w:hAnsi="Calibri"/>
        </w:rPr>
        <w:t>bearish_watch</w:t>
      </w:r>
    </w:p>
    <w:p>
      <w:pPr>
        <w:pStyle w:val="ListBullet"/>
        <w:spacing w:after="80" w:line="300" w:lineRule="auto"/>
        <w:ind w:left="540" w:hanging="271"/>
      </w:pPr>
      <w:r>
        <w:rPr>
          <w:rFonts w:ascii="Calibri" w:hAnsi="Calibri"/>
        </w:rPr>
        <w:t>mixed</w:t>
      </w:r>
    </w:p>
    <w:p>
      <w:pPr>
        <w:pStyle w:val="ListBullet"/>
        <w:spacing w:after="80" w:line="300" w:lineRule="auto"/>
        <w:ind w:left="540" w:hanging="271"/>
      </w:pPr>
      <w:r>
        <w:rPr>
          <w:rFonts w:ascii="Calibri" w:hAnsi="Calibri"/>
        </w:rPr>
        <w:t>neutral</w:t>
      </w:r>
    </w:p>
    <w:p>
      <w:pPr>
        <w:pStyle w:val="ListBullet"/>
        <w:spacing w:after="80" w:line="300" w:lineRule="auto"/>
        <w:ind w:left="540" w:hanging="271"/>
      </w:pPr>
      <w:r>
        <w:rPr>
          <w:rFonts w:ascii="Calibri" w:hAnsi="Calibri"/>
        </w:rPr>
        <w:t>incomplete</w:t>
      </w:r>
    </w:p>
    <w:p>
      <w:pPr>
        <w:spacing w:before="80" w:after="200" w:line="283" w:lineRule="auto"/>
        <w:ind w:left="202" w:right="202"/>
        <w:shd w:fill="FFF4CE"/>
        <w:pBdr>
          <w:left w:val="single" w:sz="18" w:space="8" w:color="2E74B5"/>
        </w:pBdr>
      </w:pPr>
      <w:r>
        <w:rPr>
          <w:rFonts w:ascii="Calibri" w:hAnsi="Calibri"/>
          <w:b/>
          <w:color w:val="17365D"/>
        </w:rPr>
        <w:t xml:space="preserve">Current behavior  </w:t>
      </w:r>
      <w:r>
        <w:rPr>
          <w:rFonts w:ascii="Calibri" w:hAnsi="Calibri"/>
          <w:color w:val="17365D"/>
        </w:rPr>
        <w:t>The new IBKR historical context CSV is not passed into Candidate 2 today. Running Candidate 2 now produces the same classifications and Evidence Score behavior as before this acquisition program was added.</w:t>
      </w:r>
    </w:p>
    <w:p>
      <w:r>
        <w:br w:type="page"/>
      </w:r>
    </w:p>
    <w:p>
      <w:pPr>
        <w:pStyle w:val="Heading1"/>
      </w:pPr>
      <w:r>
        <w:t>7. Planned Candidate 2 context consumption</w:t>
      </w:r>
    </w:p>
    <w:p>
      <w:pPr>
        <w:spacing w:after="120"/>
      </w:pPr>
      <w:r>
        <w:rPr>
          <w:rFonts w:ascii="Calibri" w:hAnsi="Calibri"/>
          <w:i w:val="0"/>
        </w:rPr>
        <w:t>The next implementation step is a provider-independent context adapter. It will read the historical CSV, calculate explicitly versioned market and sector context, and present that context alongside symbol-level technical evidence.</w:t>
      </w:r>
    </w:p>
    <w:p>
      <w:pPr>
        <w:pStyle w:val="Heading2"/>
      </w:pPr>
      <w:r>
        <w:t>Planned workflow</w:t>
      </w:r>
    </w:p>
    <w:tbl>
      <w:tblPr>
        <w:tblStyle w:val="TableGrid"/>
        <w:tblW w:type="dxa" w:w="9360"/>
        <w:jc w:val="left"/>
        <w:tblLayout w:type="fixed"/>
        <w:tblLook w:firstColumn="1" w:firstRow="1" w:lastColumn="0" w:lastRow="0" w:noHBand="0" w:noVBand="1" w:val="04A0"/>
        <w:tblInd w:w="120" w:type="dxa"/>
      </w:tblPr>
      <w:tblGrid>
        <w:gridCol w:w="1100"/>
        <w:gridCol w:w="8260"/>
      </w:tblGrid>
      <w:tr>
        <w:trPr>
          <w:tblHeader w:val="true"/>
        </w:trPr>
        <w:tc>
          <w:tcPr>
            <w:tcW w:type="dxa" w:w="1100"/>
            <w:shd w:fill="E8EEF5"/>
            <w:tcMar>
              <w:top w:w="80" w:type="dxa"/>
              <w:start w:w="120" w:type="dxa"/>
              <w:bottom w:w="80" w:type="dxa"/>
              <w:end w:w="120" w:type="dxa"/>
            </w:tcMar>
            <w:vAlign w:val="center"/>
          </w:tcPr>
          <w:p>
            <w:pPr>
              <w:spacing w:after="0"/>
            </w:pPr>
            <w:r>
              <w:rPr>
                <w:rFonts w:ascii="Calibri" w:hAnsi="Calibri"/>
                <w:b/>
                <w:color w:val="17365D"/>
                <w:sz w:val="20"/>
              </w:rPr>
              <w:t>Step</w:t>
            </w:r>
          </w:p>
        </w:tc>
        <w:tc>
          <w:tcPr>
            <w:tcW w:type="dxa" w:w="8260"/>
            <w:shd w:fill="E8EEF5"/>
            <w:tcMar>
              <w:top w:w="80" w:type="dxa"/>
              <w:start w:w="120" w:type="dxa"/>
              <w:bottom w:w="80" w:type="dxa"/>
              <w:end w:w="120" w:type="dxa"/>
            </w:tcMar>
            <w:vAlign w:val="center"/>
          </w:tcPr>
          <w:p>
            <w:pPr>
              <w:spacing w:after="0"/>
            </w:pPr>
            <w:r>
              <w:rPr>
                <w:rFonts w:ascii="Calibri" w:hAnsi="Calibri"/>
                <w:b/>
                <w:color w:val="17365D"/>
                <w:sz w:val="20"/>
              </w:rPr>
              <w:t>Planned responsibility</w:t>
            </w:r>
          </w:p>
        </w:tc>
      </w:tr>
      <w:tr>
        <w:tc>
          <w:tcPr>
            <w:tcW w:type="dxa" w:w="1100"/>
            <w:tcMar>
              <w:top w:w="80" w:type="dxa"/>
              <w:start w:w="120" w:type="dxa"/>
              <w:bottom w:w="80" w:type="dxa"/>
              <w:end w:w="120" w:type="dxa"/>
            </w:tcMar>
            <w:vAlign w:val="center"/>
          </w:tcPr>
          <w:p>
            <w:pPr>
              <w:spacing w:after="0"/>
            </w:pPr>
            <w:r>
              <w:rPr>
                <w:rFonts w:ascii="Calibri" w:hAnsi="Calibri"/>
                <w:sz w:val="19"/>
              </w:rPr>
              <w:t>Read</w:t>
            </w:r>
          </w:p>
        </w:tc>
        <w:tc>
          <w:tcPr>
            <w:tcW w:type="dxa" w:w="8260"/>
            <w:tcMar>
              <w:top w:w="80" w:type="dxa"/>
              <w:start w:w="120" w:type="dxa"/>
              <w:bottom w:w="80" w:type="dxa"/>
              <w:end w:w="120" w:type="dxa"/>
            </w:tcMar>
            <w:vAlign w:val="center"/>
          </w:tcPr>
          <w:p>
            <w:pPr>
              <w:spacing w:after="0"/>
            </w:pPr>
            <w:r>
              <w:rPr>
                <w:rFonts w:ascii="Calibri" w:hAnsi="Calibri"/>
                <w:sz w:val="19"/>
              </w:rPr>
              <w:t>Load and validate the context-daily-history CSV without knowing it came from IBKR</w:t>
            </w:r>
          </w:p>
        </w:tc>
      </w:tr>
      <w:tr>
        <w:tc>
          <w:tcPr>
            <w:tcW w:type="dxa" w:w="1100"/>
            <w:tcMar>
              <w:top w:w="80" w:type="dxa"/>
              <w:start w:w="120" w:type="dxa"/>
              <w:bottom w:w="80" w:type="dxa"/>
              <w:end w:w="120" w:type="dxa"/>
            </w:tcMar>
            <w:vAlign w:val="center"/>
          </w:tcPr>
          <w:p>
            <w:pPr>
              <w:spacing w:after="0"/>
            </w:pPr>
            <w:r>
              <w:rPr>
                <w:rFonts w:ascii="Calibri" w:hAnsi="Calibri"/>
                <w:sz w:val="19"/>
              </w:rPr>
              <w:t>Calculate</w:t>
            </w:r>
          </w:p>
        </w:tc>
        <w:tc>
          <w:tcPr>
            <w:tcW w:type="dxa" w:w="8260"/>
            <w:tcMar>
              <w:top w:w="80" w:type="dxa"/>
              <w:start w:w="120" w:type="dxa"/>
              <w:bottom w:w="80" w:type="dxa"/>
              <w:end w:w="120" w:type="dxa"/>
            </w:tcMar>
            <w:vAlign w:val="center"/>
          </w:tcPr>
          <w:p>
            <w:pPr>
              <w:spacing w:after="0"/>
            </w:pPr>
            <w:r>
              <w:rPr>
                <w:rFonts w:ascii="Calibri" w:hAnsi="Calibri"/>
                <w:sz w:val="19"/>
              </w:rPr>
              <w:t>Derive approved trend, momentum, and sector-relative-strength observations</w:t>
            </w:r>
          </w:p>
        </w:tc>
      </w:tr>
      <w:tr>
        <w:tc>
          <w:tcPr>
            <w:tcW w:type="dxa" w:w="1100"/>
            <w:tcMar>
              <w:top w:w="80" w:type="dxa"/>
              <w:start w:w="120" w:type="dxa"/>
              <w:bottom w:w="80" w:type="dxa"/>
              <w:end w:w="120" w:type="dxa"/>
            </w:tcMar>
            <w:vAlign w:val="center"/>
          </w:tcPr>
          <w:p>
            <w:pPr>
              <w:spacing w:after="0"/>
            </w:pPr>
            <w:r>
              <w:rPr>
                <w:rFonts w:ascii="Calibri" w:hAnsi="Calibri"/>
                <w:sz w:val="19"/>
              </w:rPr>
              <w:t>Version</w:t>
            </w:r>
          </w:p>
        </w:tc>
        <w:tc>
          <w:tcPr>
            <w:tcW w:type="dxa" w:w="8260"/>
            <w:tcMar>
              <w:top w:w="80" w:type="dxa"/>
              <w:start w:w="120" w:type="dxa"/>
              <w:bottom w:w="80" w:type="dxa"/>
              <w:end w:w="120" w:type="dxa"/>
            </w:tcMar>
            <w:vAlign w:val="center"/>
          </w:tcPr>
          <w:p>
            <w:pPr>
              <w:spacing w:after="0"/>
            </w:pPr>
            <w:r>
              <w:rPr>
                <w:rFonts w:ascii="Calibri" w:hAnsi="Calibri"/>
                <w:sz w:val="19"/>
              </w:rPr>
              <w:t>Attach calculation/ruleset identity and canonical observation date</w:t>
            </w:r>
          </w:p>
        </w:tc>
      </w:tr>
      <w:tr>
        <w:tc>
          <w:tcPr>
            <w:tcW w:type="dxa" w:w="1100"/>
            <w:tcMar>
              <w:top w:w="80" w:type="dxa"/>
              <w:start w:w="120" w:type="dxa"/>
              <w:bottom w:w="80" w:type="dxa"/>
              <w:end w:w="120" w:type="dxa"/>
            </w:tcMar>
            <w:vAlign w:val="center"/>
          </w:tcPr>
          <w:p>
            <w:pPr>
              <w:spacing w:after="0"/>
            </w:pPr>
            <w:r>
              <w:rPr>
                <w:rFonts w:ascii="Calibri" w:hAnsi="Calibri"/>
                <w:sz w:val="19"/>
              </w:rPr>
              <w:t>Join</w:t>
            </w:r>
          </w:p>
        </w:tc>
        <w:tc>
          <w:tcPr>
            <w:tcW w:type="dxa" w:w="8260"/>
            <w:tcMar>
              <w:top w:w="80" w:type="dxa"/>
              <w:start w:w="120" w:type="dxa"/>
              <w:bottom w:w="80" w:type="dxa"/>
              <w:end w:w="120" w:type="dxa"/>
            </w:tcMar>
            <w:vAlign w:val="center"/>
          </w:tcPr>
          <w:p>
            <w:pPr>
              <w:spacing w:after="0"/>
            </w:pPr>
            <w:r>
              <w:rPr>
                <w:rFonts w:ascii="Calibri" w:hAnsi="Calibri"/>
                <w:sz w:val="19"/>
              </w:rPr>
              <w:t>Associate each stock with broad-market and its approved sector representative</w:t>
            </w:r>
          </w:p>
        </w:tc>
      </w:tr>
      <w:tr>
        <w:tc>
          <w:tcPr>
            <w:tcW w:type="dxa" w:w="1100"/>
            <w:tcMar>
              <w:top w:w="80" w:type="dxa"/>
              <w:start w:w="120" w:type="dxa"/>
              <w:bottom w:w="80" w:type="dxa"/>
              <w:end w:w="120" w:type="dxa"/>
            </w:tcMar>
            <w:vAlign w:val="center"/>
          </w:tcPr>
          <w:p>
            <w:pPr>
              <w:spacing w:after="0"/>
            </w:pPr>
            <w:r>
              <w:rPr>
                <w:rFonts w:ascii="Calibri" w:hAnsi="Calibri"/>
                <w:sz w:val="19"/>
              </w:rPr>
              <w:t>Explain</w:t>
            </w:r>
          </w:p>
        </w:tc>
        <w:tc>
          <w:tcPr>
            <w:tcW w:type="dxa" w:w="8260"/>
            <w:tcMar>
              <w:top w:w="80" w:type="dxa"/>
              <w:start w:w="120" w:type="dxa"/>
              <w:bottom w:w="80" w:type="dxa"/>
              <w:end w:w="120" w:type="dxa"/>
            </w:tcMar>
            <w:vAlign w:val="center"/>
          </w:tcPr>
          <w:p>
            <w:pPr>
              <w:spacing w:after="0"/>
            </w:pPr>
            <w:r>
              <w:rPr>
                <w:rFonts w:ascii="Calibri" w:hAnsi="Calibri"/>
                <w:sz w:val="19"/>
              </w:rPr>
              <w:t>Show supportive, contradictory, or unavailable context in educational language</w:t>
            </w:r>
          </w:p>
        </w:tc>
      </w:tr>
      <w:tr>
        <w:tc>
          <w:tcPr>
            <w:tcW w:type="dxa" w:w="1100"/>
            <w:tcMar>
              <w:top w:w="80" w:type="dxa"/>
              <w:start w:w="120" w:type="dxa"/>
              <w:bottom w:w="80" w:type="dxa"/>
              <w:end w:w="120" w:type="dxa"/>
            </w:tcMar>
            <w:vAlign w:val="center"/>
          </w:tcPr>
          <w:p>
            <w:pPr>
              <w:spacing w:after="0"/>
            </w:pPr>
            <w:r>
              <w:rPr>
                <w:rFonts w:ascii="Calibri" w:hAnsi="Calibri"/>
                <w:sz w:val="19"/>
              </w:rPr>
              <w:t>Preserve</w:t>
            </w:r>
          </w:p>
        </w:tc>
        <w:tc>
          <w:tcPr>
            <w:tcW w:type="dxa" w:w="8260"/>
            <w:tcMar>
              <w:top w:w="80" w:type="dxa"/>
              <w:start w:w="120" w:type="dxa"/>
              <w:bottom w:w="80" w:type="dxa"/>
              <w:end w:w="120" w:type="dxa"/>
            </w:tcMar>
            <w:vAlign w:val="center"/>
          </w:tcPr>
          <w:p>
            <w:pPr>
              <w:spacing w:after="0"/>
            </w:pPr>
            <w:r>
              <w:rPr>
                <w:rFonts w:ascii="Calibri" w:hAnsi="Calibri"/>
                <w:sz w:val="19"/>
              </w:rPr>
              <w:t>Keep original Candidate 2 technical evidence and context as inspectable layers</w:t>
            </w:r>
          </w:p>
        </w:tc>
      </w:tr>
    </w:tbl>
    <w:p>
      <w:pPr>
        <w:spacing w:after="0"/>
      </w:pPr>
    </w:p>
    <w:p>
      <w:pPr>
        <w:pStyle w:val="Heading2"/>
      </w:pPr>
      <w:r>
        <w:t>Example interpretation</w:t>
      </w:r>
    </w:p>
    <w:p>
      <w:pPr>
        <w:spacing w:after="120"/>
      </w:pPr>
      <w:r>
        <w:rPr>
          <w:rFonts w:ascii="Calibri" w:hAnsi="Calibri"/>
          <w:i w:val="0"/>
        </w:rPr>
        <w:t>Suppose Candidate 2 classifies a stock as bullish from its symbol-level technical evidence, while its sector ETF is weakening relative to SPY. The stock remains technically bullish under the current rules. The context layer can explain that the surrounding sector evidence is contradictory; it should not silently convert the classification to bearish.</w:t>
      </w:r>
    </w:p>
    <w:p>
      <w:pPr>
        <w:spacing w:before="80" w:after="200" w:line="283" w:lineRule="auto"/>
        <w:ind w:left="202" w:right="202"/>
        <w:shd w:fill="FFF4CE"/>
        <w:pBdr>
          <w:left w:val="single" w:sz="18" w:space="8" w:color="2E74B5"/>
        </w:pBdr>
      </w:pPr>
      <w:r>
        <w:rPr>
          <w:rFonts w:ascii="Calibri" w:hAnsi="Calibri"/>
          <w:b/>
          <w:color w:val="17365D"/>
        </w:rPr>
        <w:t xml:space="preserve">Human approval gate  </w:t>
      </w:r>
      <w:r>
        <w:rPr>
          <w:rFonts w:ascii="Calibri" w:hAnsi="Calibri"/>
          <w:color w:val="17365D"/>
        </w:rPr>
        <w:t>The formulas, thresholds, lookback windows, explanation wording, and any effect on Evidence Score require explicit specification, tests, ruleset/version updates, and founder review before production use.</w:t>
      </w:r>
    </w:p>
    <w:p>
      <w:pPr>
        <w:pStyle w:val="Heading2"/>
      </w:pPr>
      <w:r>
        <w:t>Beginner and expert presentation</w:t>
      </w:r>
    </w:p>
    <w:p>
      <w:pPr>
        <w:pStyle w:val="ListBullet"/>
        <w:spacing w:after="80" w:line="300" w:lineRule="auto"/>
        <w:ind w:left="540" w:hanging="271"/>
      </w:pPr>
      <w:r>
        <w:rPr>
          <w:rFonts w:ascii="Calibri" w:hAnsi="Calibri"/>
        </w:rPr>
        <w:t>Beginner view: a concise statement that broader context supports, contradicts, or does not materially inform the setup.</w:t>
      </w:r>
    </w:p>
    <w:p>
      <w:pPr>
        <w:pStyle w:val="ListBullet"/>
        <w:spacing w:after="80" w:line="300" w:lineRule="auto"/>
        <w:ind w:left="540" w:hanging="271"/>
      </w:pPr>
      <w:r>
        <w:rPr>
          <w:rFonts w:ascii="Calibri" w:hAnsi="Calibri"/>
        </w:rPr>
        <w:t>Expert view: inspectable timeframe details, sector-relative-strength evidence, dates, inputs, and calculation version.</w:t>
      </w:r>
    </w:p>
    <w:p>
      <w:pPr>
        <w:pStyle w:val="ListBullet"/>
        <w:spacing w:after="80" w:line="300" w:lineRule="auto"/>
        <w:ind w:left="540" w:hanging="271"/>
      </w:pPr>
      <w:r>
        <w:rPr>
          <w:rFonts w:ascii="Calibri" w:hAnsi="Calibri"/>
        </w:rPr>
        <w:t>Both views: clearly distinguish observed evidence from trader judgment and avoid financial-advisory language.</w:t>
      </w:r>
    </w:p>
    <w:p>
      <w:pPr>
        <w:pStyle w:val="Heading1"/>
      </w:pPr>
      <w:r>
        <w:t>8. Repeatable operating procedure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80" w:type="dxa"/>
              <w:start w:w="120" w:type="dxa"/>
              <w:bottom w:w="80" w:type="dxa"/>
              <w:end w:w="120" w:type="dxa"/>
            </w:tcMar>
            <w:vAlign w:val="center"/>
          </w:tcPr>
          <w:p>
            <w:pPr>
              <w:spacing w:after="0"/>
            </w:pPr>
            <w:r>
              <w:rPr>
                <w:rFonts w:ascii="Calibri" w:hAnsi="Calibri"/>
                <w:b/>
                <w:color w:val="17365D"/>
                <w:sz w:val="20"/>
              </w:rPr>
              <w:t>When</w:t>
            </w:r>
          </w:p>
        </w:tc>
        <w:tc>
          <w:tcPr>
            <w:tcW w:type="dxa" w:w="7060"/>
            <w:shd w:fill="E8EEF5"/>
            <w:tcMar>
              <w:top w:w="80" w:type="dxa"/>
              <w:start w:w="120" w:type="dxa"/>
              <w:bottom w:w="80" w:type="dxa"/>
              <w:end w:w="120" w:type="dxa"/>
            </w:tcMar>
            <w:vAlign w:val="center"/>
          </w:tcPr>
          <w:p>
            <w:pPr>
              <w:spacing w:after="0"/>
            </w:pPr>
            <w:r>
              <w:rPr>
                <w:rFonts w:ascii="Calibri" w:hAnsi="Calibri"/>
                <w:b/>
                <w:color w:val="17365D"/>
                <w:sz w:val="20"/>
              </w:rPr>
              <w:t>Operator action</w:t>
            </w:r>
          </w:p>
        </w:tc>
      </w:tr>
      <w:tr>
        <w:tc>
          <w:tcPr>
            <w:tcW w:type="dxa" w:w="2300"/>
            <w:tcMar>
              <w:top w:w="80" w:type="dxa"/>
              <w:start w:w="120" w:type="dxa"/>
              <w:bottom w:w="80" w:type="dxa"/>
              <w:end w:w="120" w:type="dxa"/>
            </w:tcMar>
            <w:vAlign w:val="center"/>
          </w:tcPr>
          <w:p>
            <w:pPr>
              <w:spacing w:after="0"/>
            </w:pPr>
            <w:r>
              <w:rPr>
                <w:rFonts w:ascii="Calibri" w:hAnsi="Calibri"/>
                <w:sz w:val="19"/>
              </w:rPr>
              <w:t>Before acquisition</w:t>
            </w:r>
          </w:p>
        </w:tc>
        <w:tc>
          <w:tcPr>
            <w:tcW w:type="dxa" w:w="7060"/>
            <w:tcMar>
              <w:top w:w="80" w:type="dxa"/>
              <w:start w:w="120" w:type="dxa"/>
              <w:bottom w:w="80" w:type="dxa"/>
              <w:end w:w="120" w:type="dxa"/>
            </w:tcMar>
            <w:vAlign w:val="center"/>
          </w:tcPr>
          <w:p>
            <w:pPr>
              <w:spacing w:after="0"/>
            </w:pPr>
            <w:r>
              <w:rPr>
                <w:rFonts w:ascii="Calibri" w:hAnsi="Calibri"/>
                <w:sz w:val="19"/>
              </w:rPr>
              <w:t>Confirm the target is a completed regular trading session; open TWS; verify Read-Only API and port 7496</w:t>
            </w:r>
          </w:p>
        </w:tc>
      </w:tr>
      <w:tr>
        <w:tc>
          <w:tcPr>
            <w:tcW w:type="dxa" w:w="2300"/>
            <w:tcMar>
              <w:top w:w="80" w:type="dxa"/>
              <w:start w:w="120" w:type="dxa"/>
              <w:bottom w:w="80" w:type="dxa"/>
              <w:end w:w="120" w:type="dxa"/>
            </w:tcMar>
            <w:vAlign w:val="center"/>
          </w:tcPr>
          <w:p>
            <w:pPr>
              <w:spacing w:after="0"/>
            </w:pPr>
            <w:r>
              <w:rPr>
                <w:rFonts w:ascii="Calibri" w:hAnsi="Calibri"/>
                <w:sz w:val="19"/>
              </w:rPr>
              <w:t>During acquisition</w:t>
            </w:r>
          </w:p>
        </w:tc>
        <w:tc>
          <w:tcPr>
            <w:tcW w:type="dxa" w:w="7060"/>
            <w:tcMar>
              <w:top w:w="80" w:type="dxa"/>
              <w:start w:w="120" w:type="dxa"/>
              <w:bottom w:w="80" w:type="dxa"/>
              <w:end w:w="120" w:type="dxa"/>
            </w:tcMar>
            <w:vAlign w:val="center"/>
          </w:tcPr>
          <w:p>
            <w:pPr>
              <w:spacing w:after="0"/>
            </w:pPr>
            <w:r>
              <w:rPr>
                <w:rFonts w:ascii="Calibri" w:hAnsi="Calibri"/>
                <w:sz w:val="19"/>
              </w:rPr>
              <w:t>Run SPY smoke test first, then the 14-symbol command; respond only to a local connection prompt</w:t>
            </w:r>
          </w:p>
        </w:tc>
      </w:tr>
      <w:tr>
        <w:tc>
          <w:tcPr>
            <w:tcW w:type="dxa" w:w="2300"/>
            <w:tcMar>
              <w:top w:w="80" w:type="dxa"/>
              <w:start w:w="120" w:type="dxa"/>
              <w:bottom w:w="80" w:type="dxa"/>
              <w:end w:w="120" w:type="dxa"/>
            </w:tcMar>
            <w:vAlign w:val="center"/>
          </w:tcPr>
          <w:p>
            <w:pPr>
              <w:spacing w:after="0"/>
            </w:pPr>
            <w:r>
              <w:rPr>
                <w:rFonts w:ascii="Calibri" w:hAnsi="Calibri"/>
                <w:sz w:val="19"/>
              </w:rPr>
              <w:t>After acquisition</w:t>
            </w:r>
          </w:p>
        </w:tc>
        <w:tc>
          <w:tcPr>
            <w:tcW w:type="dxa" w:w="7060"/>
            <w:tcMar>
              <w:top w:w="80" w:type="dxa"/>
              <w:start w:w="120" w:type="dxa"/>
              <w:bottom w:w="80" w:type="dxa"/>
              <w:end w:w="120" w:type="dxa"/>
            </w:tcMar>
            <w:vAlign w:val="center"/>
          </w:tcPr>
          <w:p>
            <w:pPr>
              <w:spacing w:after="0"/>
            </w:pPr>
            <w:r>
              <w:rPr>
                <w:rFonts w:ascii="Calibri" w:hAnsi="Calibri"/>
                <w:sz w:val="19"/>
              </w:rPr>
              <w:t>Validate schema, symbols, dates, duplicates, OHLC, volume, and Git exclusion</w:t>
            </w:r>
          </w:p>
        </w:tc>
      </w:tr>
      <w:tr>
        <w:tc>
          <w:tcPr>
            <w:tcW w:type="dxa" w:w="2300"/>
            <w:tcMar>
              <w:top w:w="80" w:type="dxa"/>
              <w:start w:w="120" w:type="dxa"/>
              <w:bottom w:w="80" w:type="dxa"/>
              <w:end w:w="120" w:type="dxa"/>
            </w:tcMar>
            <w:vAlign w:val="center"/>
          </w:tcPr>
          <w:p>
            <w:pPr>
              <w:spacing w:after="0"/>
            </w:pPr>
            <w:r>
              <w:rPr>
                <w:rFonts w:ascii="Calibri" w:hAnsi="Calibri"/>
                <w:sz w:val="19"/>
              </w:rPr>
              <w:t>Before consumption</w:t>
            </w:r>
          </w:p>
        </w:tc>
        <w:tc>
          <w:tcPr>
            <w:tcW w:type="dxa" w:w="7060"/>
            <w:tcMar>
              <w:top w:w="80" w:type="dxa"/>
              <w:start w:w="120" w:type="dxa"/>
              <w:bottom w:w="80" w:type="dxa"/>
              <w:end w:w="120" w:type="dxa"/>
            </w:tcMar>
            <w:vAlign w:val="center"/>
          </w:tcPr>
          <w:p>
            <w:pPr>
              <w:spacing w:after="0"/>
            </w:pPr>
            <w:r>
              <w:rPr>
                <w:rFonts w:ascii="Calibri" w:hAnsi="Calibri"/>
                <w:sz w:val="19"/>
              </w:rPr>
              <w:t>Confirm the context adapter version and approved calculation rules</w:t>
            </w:r>
          </w:p>
        </w:tc>
      </w:tr>
      <w:tr>
        <w:tc>
          <w:tcPr>
            <w:tcW w:type="dxa" w:w="2300"/>
            <w:tcMar>
              <w:top w:w="80" w:type="dxa"/>
              <w:start w:w="120" w:type="dxa"/>
              <w:bottom w:w="80" w:type="dxa"/>
              <w:end w:w="120" w:type="dxa"/>
            </w:tcMar>
            <w:vAlign w:val="center"/>
          </w:tcPr>
          <w:p>
            <w:pPr>
              <w:spacing w:after="0"/>
            </w:pPr>
            <w:r>
              <w:rPr>
                <w:rFonts w:ascii="Calibri" w:hAnsi="Calibri"/>
                <w:sz w:val="19"/>
              </w:rPr>
              <w:t>Before publication</w:t>
            </w:r>
          </w:p>
        </w:tc>
        <w:tc>
          <w:tcPr>
            <w:tcW w:type="dxa" w:w="7060"/>
            <w:tcMar>
              <w:top w:w="80" w:type="dxa"/>
              <w:start w:w="120" w:type="dxa"/>
              <w:bottom w:w="80" w:type="dxa"/>
              <w:end w:w="120" w:type="dxa"/>
            </w:tcMar>
            <w:vAlign w:val="center"/>
          </w:tcPr>
          <w:p>
            <w:pPr>
              <w:spacing w:after="0"/>
            </w:pPr>
            <w:r>
              <w:rPr>
                <w:rFonts w:ascii="Calibri" w:hAnsi="Calibri"/>
                <w:sz w:val="19"/>
              </w:rPr>
              <w:t>Require human review of the analytical run and preserve immutable source/run lineage</w:t>
            </w:r>
          </w:p>
        </w:tc>
      </w:tr>
    </w:tbl>
    <w:p>
      <w:pPr>
        <w:spacing w:after="0"/>
      </w:pPr>
    </w:p>
    <w:p>
      <w:r>
        <w:br w:type="page"/>
      </w:r>
    </w:p>
    <w:p>
      <w:pPr>
        <w:pStyle w:val="Heading1"/>
      </w:pPr>
      <w:r>
        <w:t>9. Troubleshooting</w:t>
      </w:r>
    </w:p>
    <w:tbl>
      <w:tblPr>
        <w:tblStyle w:val="TableGrid"/>
        <w:tblW w:type="dxa" w:w="9360"/>
        <w:jc w:val="left"/>
        <w:tblLayout w:type="fixed"/>
        <w:tblLook w:firstColumn="1" w:firstRow="1" w:lastColumn="0" w:lastRow="0" w:noHBand="0" w:noVBand="1" w:val="04A0"/>
        <w:tblInd w:w="120" w:type="dxa"/>
      </w:tblPr>
      <w:tblGrid>
        <w:gridCol w:w="2550"/>
        <w:gridCol w:w="6810"/>
      </w:tblGrid>
      <w:tr>
        <w:trPr>
          <w:tblHeader w:val="true"/>
        </w:trPr>
        <w:tc>
          <w:tcPr>
            <w:tcW w:type="dxa" w:w="2550"/>
            <w:shd w:fill="E8EEF5"/>
            <w:tcMar>
              <w:top w:w="80" w:type="dxa"/>
              <w:start w:w="120" w:type="dxa"/>
              <w:bottom w:w="80" w:type="dxa"/>
              <w:end w:w="120" w:type="dxa"/>
            </w:tcMar>
            <w:vAlign w:val="center"/>
          </w:tcPr>
          <w:p>
            <w:pPr>
              <w:spacing w:after="0"/>
            </w:pPr>
            <w:r>
              <w:rPr>
                <w:rFonts w:ascii="Calibri" w:hAnsi="Calibri"/>
                <w:b/>
                <w:color w:val="17365D"/>
                <w:sz w:val="20"/>
              </w:rPr>
              <w:t>Symptom</w:t>
            </w:r>
          </w:p>
        </w:tc>
        <w:tc>
          <w:tcPr>
            <w:tcW w:type="dxa" w:w="6810"/>
            <w:shd w:fill="E8EEF5"/>
            <w:tcMar>
              <w:top w:w="80" w:type="dxa"/>
              <w:start w:w="120" w:type="dxa"/>
              <w:bottom w:w="80" w:type="dxa"/>
              <w:end w:w="120" w:type="dxa"/>
            </w:tcMar>
            <w:vAlign w:val="center"/>
          </w:tcPr>
          <w:p>
            <w:pPr>
              <w:spacing w:after="0"/>
            </w:pPr>
            <w:r>
              <w:rPr>
                <w:rFonts w:ascii="Calibri" w:hAnsi="Calibri"/>
                <w:b/>
                <w:color w:val="17365D"/>
                <w:sz w:val="20"/>
              </w:rPr>
              <w:t>Likely cause and response</w:t>
            </w:r>
          </w:p>
        </w:tc>
      </w:tr>
      <w:tr>
        <w:tc>
          <w:tcPr>
            <w:tcW w:type="dxa" w:w="2550"/>
            <w:tcMar>
              <w:top w:w="80" w:type="dxa"/>
              <w:start w:w="120" w:type="dxa"/>
              <w:bottom w:w="80" w:type="dxa"/>
              <w:end w:w="120" w:type="dxa"/>
            </w:tcMar>
            <w:vAlign w:val="center"/>
          </w:tcPr>
          <w:p>
            <w:pPr>
              <w:spacing w:after="0"/>
            </w:pPr>
            <w:r>
              <w:rPr>
                <w:rFonts w:ascii="Calibri" w:hAnsi="Calibri"/>
                <w:sz w:val="19"/>
              </w:rPr>
              <w:t>TWS connection times out</w:t>
            </w:r>
          </w:p>
        </w:tc>
        <w:tc>
          <w:tcPr>
            <w:tcW w:type="dxa" w:w="6810"/>
            <w:tcMar>
              <w:top w:w="80" w:type="dxa"/>
              <w:start w:w="120" w:type="dxa"/>
              <w:bottom w:w="80" w:type="dxa"/>
              <w:end w:w="120" w:type="dxa"/>
            </w:tcMar>
            <w:vAlign w:val="center"/>
          </w:tcPr>
          <w:p>
            <w:pPr>
              <w:spacing w:after="0"/>
            </w:pPr>
            <w:r>
              <w:rPr>
                <w:rFonts w:ascii="Calibri" w:hAnsi="Calibri"/>
                <w:sz w:val="19"/>
              </w:rPr>
              <w:t>TWS is closed, not logged in, API access is disabled, or the port differs. Verify 127.0.0.1:7496 and retry.</w:t>
            </w:r>
          </w:p>
        </w:tc>
      </w:tr>
      <w:tr>
        <w:tc>
          <w:tcPr>
            <w:tcW w:type="dxa" w:w="2550"/>
            <w:tcMar>
              <w:top w:w="80" w:type="dxa"/>
              <w:start w:w="120" w:type="dxa"/>
              <w:bottom w:w="80" w:type="dxa"/>
              <w:end w:w="120" w:type="dxa"/>
            </w:tcMar>
            <w:vAlign w:val="center"/>
          </w:tcPr>
          <w:p>
            <w:pPr>
              <w:spacing w:after="0"/>
            </w:pPr>
            <w:r>
              <w:rPr>
                <w:rFonts w:ascii="Calibri" w:hAnsi="Calibri"/>
                <w:sz w:val="19"/>
              </w:rPr>
              <w:t>Incoming connection prompt</w:t>
            </w:r>
          </w:p>
        </w:tc>
        <w:tc>
          <w:tcPr>
            <w:tcW w:type="dxa" w:w="6810"/>
            <w:tcMar>
              <w:top w:w="80" w:type="dxa"/>
              <w:start w:w="120" w:type="dxa"/>
              <w:bottom w:w="80" w:type="dxa"/>
              <w:end w:w="120" w:type="dxa"/>
            </w:tcMar>
            <w:vAlign w:val="center"/>
          </w:tcPr>
          <w:p>
            <w:pPr>
              <w:spacing w:after="0"/>
            </w:pPr>
            <w:r>
              <w:rPr>
                <w:rFonts w:ascii="Calibri" w:hAnsi="Calibri"/>
                <w:sz w:val="19"/>
              </w:rPr>
              <w:t>Approve only if the source is local 127.0.0.1.</w:t>
            </w:r>
          </w:p>
        </w:tc>
      </w:tr>
      <w:tr>
        <w:tc>
          <w:tcPr>
            <w:tcW w:type="dxa" w:w="2550"/>
            <w:tcMar>
              <w:top w:w="80" w:type="dxa"/>
              <w:start w:w="120" w:type="dxa"/>
              <w:bottom w:w="80" w:type="dxa"/>
              <w:end w:w="120" w:type="dxa"/>
            </w:tcMar>
            <w:vAlign w:val="center"/>
          </w:tcPr>
          <w:p>
            <w:pPr>
              <w:spacing w:after="0"/>
            </w:pPr>
            <w:r>
              <w:rPr>
                <w:rFonts w:ascii="Calibri" w:hAnsi="Calibri"/>
                <w:sz w:val="19"/>
              </w:rPr>
              <w:t>Market-data permission error</w:t>
            </w:r>
          </w:p>
        </w:tc>
        <w:tc>
          <w:tcPr>
            <w:tcW w:type="dxa" w:w="6810"/>
            <w:tcMar>
              <w:top w:w="80" w:type="dxa"/>
              <w:start w:w="120" w:type="dxa"/>
              <w:bottom w:w="80" w:type="dxa"/>
              <w:end w:w="120" w:type="dxa"/>
            </w:tcMar>
            <w:vAlign w:val="center"/>
          </w:tcPr>
          <w:p>
            <w:pPr>
              <w:spacing w:after="0"/>
            </w:pPr>
            <w:r>
              <w:rPr>
                <w:rFonts w:ascii="Calibri" w:hAnsi="Calibri"/>
                <w:sz w:val="19"/>
              </w:rPr>
              <w:t>The account lacks the required IBKR market-data entitlement. Confirm the data is visible in TWS and review subscriptions.</w:t>
            </w:r>
          </w:p>
        </w:tc>
      </w:tr>
      <w:tr>
        <w:tc>
          <w:tcPr>
            <w:tcW w:type="dxa" w:w="2550"/>
            <w:tcMar>
              <w:top w:w="80" w:type="dxa"/>
              <w:start w:w="120" w:type="dxa"/>
              <w:bottom w:w="80" w:type="dxa"/>
              <w:end w:w="120" w:type="dxa"/>
            </w:tcMar>
            <w:vAlign w:val="center"/>
          </w:tcPr>
          <w:p>
            <w:pPr>
              <w:spacing w:after="0"/>
            </w:pPr>
            <w:r>
              <w:rPr>
                <w:rFonts w:ascii="Calibri" w:hAnsi="Calibri"/>
                <w:sz w:val="19"/>
              </w:rPr>
              <w:t>ADJUSTED_LAST error</w:t>
            </w:r>
          </w:p>
        </w:tc>
        <w:tc>
          <w:tcPr>
            <w:tcW w:type="dxa" w:w="6810"/>
            <w:tcMar>
              <w:top w:w="80" w:type="dxa"/>
              <w:start w:w="120" w:type="dxa"/>
              <w:bottom w:w="80" w:type="dxa"/>
              <w:end w:w="120" w:type="dxa"/>
            </w:tcMar>
            <w:vAlign w:val="center"/>
          </w:tcPr>
          <w:p>
            <w:pPr>
              <w:spacing w:after="0"/>
            </w:pPr>
            <w:r>
              <w:rPr>
                <w:rFonts w:ascii="Calibri" w:hAnsi="Calibri"/>
                <w:sz w:val="19"/>
              </w:rPr>
              <w:t>Use the repository program as written; it intentionally leaves the adjusted request's end date empty and filters afterward.</w:t>
            </w:r>
          </w:p>
        </w:tc>
      </w:tr>
      <w:tr>
        <w:tc>
          <w:tcPr>
            <w:tcW w:type="dxa" w:w="2550"/>
            <w:tcMar>
              <w:top w:w="80" w:type="dxa"/>
              <w:start w:w="120" w:type="dxa"/>
              <w:bottom w:w="80" w:type="dxa"/>
              <w:end w:w="120" w:type="dxa"/>
            </w:tcMar>
            <w:vAlign w:val="center"/>
          </w:tcPr>
          <w:p>
            <w:pPr>
              <w:spacing w:after="0"/>
            </w:pPr>
            <w:r>
              <w:rPr>
                <w:rFonts w:ascii="Calibri" w:hAnsi="Calibri"/>
                <w:sz w:val="19"/>
              </w:rPr>
              <w:t>No joinable bars</w:t>
            </w:r>
          </w:p>
        </w:tc>
        <w:tc>
          <w:tcPr>
            <w:tcW w:type="dxa" w:w="6810"/>
            <w:tcMar>
              <w:top w:w="80" w:type="dxa"/>
              <w:start w:w="120" w:type="dxa"/>
              <w:bottom w:w="80" w:type="dxa"/>
              <w:end w:w="120" w:type="dxa"/>
            </w:tcMar>
            <w:vAlign w:val="center"/>
          </w:tcPr>
          <w:p>
            <w:pPr>
              <w:spacing w:after="0"/>
            </w:pPr>
            <w:r>
              <w:rPr>
                <w:rFonts w:ascii="Calibri" w:hAnsi="Calibri"/>
                <w:sz w:val="19"/>
              </w:rPr>
              <w:t>TRADES and ADJUSTED_LAST did not share completed dates. Do not invent values; inspect permissions, dates, and provider availability.</w:t>
            </w:r>
          </w:p>
        </w:tc>
      </w:tr>
      <w:tr>
        <w:tc>
          <w:tcPr>
            <w:tcW w:type="dxa" w:w="2550"/>
            <w:tcMar>
              <w:top w:w="80" w:type="dxa"/>
              <w:start w:w="120" w:type="dxa"/>
              <w:bottom w:w="80" w:type="dxa"/>
              <w:end w:w="120" w:type="dxa"/>
            </w:tcMar>
            <w:vAlign w:val="center"/>
          </w:tcPr>
          <w:p>
            <w:pPr>
              <w:spacing w:after="0"/>
            </w:pPr>
            <w:r>
              <w:rPr>
                <w:rFonts w:ascii="Calibri" w:hAnsi="Calibri"/>
                <w:sz w:val="19"/>
              </w:rPr>
              <w:t>Wrong latest date</w:t>
            </w:r>
          </w:p>
        </w:tc>
        <w:tc>
          <w:tcPr>
            <w:tcW w:type="dxa" w:w="6810"/>
            <w:tcMar>
              <w:top w:w="80" w:type="dxa"/>
              <w:start w:w="120" w:type="dxa"/>
              <w:bottom w:w="80" w:type="dxa"/>
              <w:end w:w="120" w:type="dxa"/>
            </w:tcMar>
            <w:vAlign w:val="center"/>
          </w:tcPr>
          <w:p>
            <w:pPr>
              <w:spacing w:after="0"/>
            </w:pPr>
            <w:r>
              <w:rPr>
                <w:rFonts w:ascii="Calibri" w:hAnsi="Calibri"/>
                <w:sz w:val="19"/>
              </w:rPr>
              <w:t>Use the trading-session date, not the weekend/export date, and rerun with the correct --through value.</w:t>
            </w:r>
          </w:p>
        </w:tc>
      </w:tr>
      <w:tr>
        <w:tc>
          <w:tcPr>
            <w:tcW w:type="dxa" w:w="2550"/>
            <w:tcMar>
              <w:top w:w="80" w:type="dxa"/>
              <w:start w:w="120" w:type="dxa"/>
              <w:bottom w:w="80" w:type="dxa"/>
              <w:end w:w="120" w:type="dxa"/>
            </w:tcMar>
            <w:vAlign w:val="center"/>
          </w:tcPr>
          <w:p>
            <w:pPr>
              <w:spacing w:after="0"/>
            </w:pPr>
            <w:r>
              <w:rPr>
                <w:rFonts w:ascii="Calibri" w:hAnsi="Calibri"/>
                <w:sz w:val="19"/>
              </w:rPr>
              <w:t>CSV appears in git status</w:t>
            </w:r>
          </w:p>
        </w:tc>
        <w:tc>
          <w:tcPr>
            <w:tcW w:type="dxa" w:w="6810"/>
            <w:tcMar>
              <w:top w:w="80" w:type="dxa"/>
              <w:start w:w="120" w:type="dxa"/>
              <w:bottom w:w="80" w:type="dxa"/>
              <w:end w:w="120" w:type="dxa"/>
            </w:tcMar>
            <w:vAlign w:val="center"/>
          </w:tcPr>
          <w:p>
            <w:pPr>
              <w:spacing w:after="0"/>
            </w:pPr>
            <w:r>
              <w:rPr>
                <w:rFonts w:ascii="Calibri" w:hAnsi="Calibri"/>
                <w:sz w:val="19"/>
              </w:rPr>
              <w:t>Stop before staging. Confirm the input directory is ignored and remove the file from any staged change.</w:t>
            </w:r>
          </w:p>
        </w:tc>
      </w:tr>
    </w:tbl>
    <w:p>
      <w:pPr>
        <w:spacing w:after="0"/>
      </w:pPr>
    </w:p>
    <w:p>
      <w:pPr>
        <w:pStyle w:val="Heading1"/>
      </w:pPr>
      <w:r>
        <w:t>10. Files and ownership</w:t>
      </w:r>
    </w:p>
    <w:tbl>
      <w:tblPr>
        <w:tblStyle w:val="TableGrid"/>
        <w:tblW w:type="dxa" w:w="9360"/>
        <w:jc w:val="left"/>
        <w:tblLayout w:type="fixed"/>
        <w:tblLook w:firstColumn="1" w:firstRow="1" w:lastColumn="0" w:lastRow="0" w:noHBand="0" w:noVBand="1" w:val="04A0"/>
        <w:tblInd w:w="120" w:type="dxa"/>
      </w:tblPr>
      <w:tblGrid>
        <w:gridCol w:w="4200"/>
        <w:gridCol w:w="5160"/>
      </w:tblGrid>
      <w:tr>
        <w:trPr>
          <w:tblHeader w:val="true"/>
        </w:trPr>
        <w:tc>
          <w:tcPr>
            <w:tcW w:type="dxa" w:w="4200"/>
            <w:shd w:fill="E8EEF5"/>
            <w:tcMar>
              <w:top w:w="80" w:type="dxa"/>
              <w:start w:w="120" w:type="dxa"/>
              <w:bottom w:w="80" w:type="dxa"/>
              <w:end w:w="120" w:type="dxa"/>
            </w:tcMar>
            <w:vAlign w:val="center"/>
          </w:tcPr>
          <w:p>
            <w:pPr>
              <w:spacing w:after="0"/>
            </w:pPr>
            <w:r>
              <w:rPr>
                <w:rFonts w:ascii="Calibri" w:hAnsi="Calibri"/>
                <w:b/>
                <w:color w:val="17365D"/>
                <w:sz w:val="20"/>
              </w:rPr>
              <w:t>Artifact</w:t>
            </w:r>
          </w:p>
        </w:tc>
        <w:tc>
          <w:tcPr>
            <w:tcW w:type="dxa" w:w="5160"/>
            <w:shd w:fill="E8EEF5"/>
            <w:tcMar>
              <w:top w:w="80" w:type="dxa"/>
              <w:start w:w="120" w:type="dxa"/>
              <w:bottom w:w="80" w:type="dxa"/>
              <w:end w:w="120" w:type="dxa"/>
            </w:tcMar>
            <w:vAlign w:val="center"/>
          </w:tcPr>
          <w:p>
            <w:pPr>
              <w:spacing w:after="0"/>
            </w:pPr>
            <w:r>
              <w:rPr>
                <w:rFonts w:ascii="Calibri" w:hAnsi="Calibri"/>
                <w:b/>
                <w:color w:val="17365D"/>
                <w:sz w:val="20"/>
              </w:rPr>
              <w:t>Responsibility</w:t>
            </w:r>
          </w:p>
        </w:tc>
      </w:tr>
      <w:tr>
        <w:tc>
          <w:tcPr>
            <w:tcW w:type="dxa" w:w="4200"/>
            <w:tcMar>
              <w:top w:w="80" w:type="dxa"/>
              <w:start w:w="120" w:type="dxa"/>
              <w:bottom w:w="80" w:type="dxa"/>
              <w:end w:w="120" w:type="dxa"/>
            </w:tcMar>
            <w:vAlign w:val="center"/>
          </w:tcPr>
          <w:p>
            <w:pPr>
              <w:spacing w:after="0"/>
            </w:pPr>
            <w:r>
              <w:rPr>
                <w:rFonts w:ascii="Calibri" w:hAnsi="Calibri"/>
                <w:sz w:val="19"/>
              </w:rPr>
              <w:t>analytics-engine/fetch_ibkr_history.py</w:t>
            </w:r>
          </w:p>
        </w:tc>
        <w:tc>
          <w:tcPr>
            <w:tcW w:type="dxa" w:w="5160"/>
            <w:tcMar>
              <w:top w:w="80" w:type="dxa"/>
              <w:start w:w="120" w:type="dxa"/>
              <w:bottom w:w="80" w:type="dxa"/>
              <w:end w:w="120" w:type="dxa"/>
            </w:tcMar>
            <w:vAlign w:val="center"/>
          </w:tcPr>
          <w:p>
            <w:pPr>
              <w:spacing w:after="0"/>
            </w:pPr>
            <w:r>
              <w:rPr>
                <w:rFonts w:ascii="Calibri" w:hAnsi="Calibri"/>
                <w:sz w:val="19"/>
              </w:rPr>
              <w:t>Operator-facing command and argument validation</w:t>
            </w:r>
          </w:p>
        </w:tc>
      </w:tr>
      <w:tr>
        <w:tc>
          <w:tcPr>
            <w:tcW w:type="dxa" w:w="4200"/>
            <w:tcMar>
              <w:top w:w="80" w:type="dxa"/>
              <w:start w:w="120" w:type="dxa"/>
              <w:bottom w:w="80" w:type="dxa"/>
              <w:end w:w="120" w:type="dxa"/>
            </w:tcMar>
            <w:vAlign w:val="center"/>
          </w:tcPr>
          <w:p>
            <w:pPr>
              <w:spacing w:after="0"/>
            </w:pPr>
            <w:r>
              <w:rPr>
                <w:rFonts w:ascii="Calibri" w:hAnsi="Calibri"/>
                <w:sz w:val="19"/>
              </w:rPr>
              <w:t>analytics-engine/src/tradeevidence_analytics/ibkr_history.py</w:t>
            </w:r>
          </w:p>
        </w:tc>
        <w:tc>
          <w:tcPr>
            <w:tcW w:type="dxa" w:w="5160"/>
            <w:tcMar>
              <w:top w:w="80" w:type="dxa"/>
              <w:start w:w="120" w:type="dxa"/>
              <w:bottom w:w="80" w:type="dxa"/>
              <w:end w:w="120" w:type="dxa"/>
            </w:tcMar>
            <w:vAlign w:val="center"/>
          </w:tcPr>
          <w:p>
            <w:pPr>
              <w:spacing w:after="0"/>
            </w:pPr>
            <w:r>
              <w:rPr>
                <w:rFonts w:ascii="Calibri" w:hAnsi="Calibri"/>
                <w:sz w:val="19"/>
              </w:rPr>
              <w:t>IBKR-specific acquisition, normalization, joining, and CSV writing</w:t>
            </w:r>
          </w:p>
        </w:tc>
      </w:tr>
      <w:tr>
        <w:tc>
          <w:tcPr>
            <w:tcW w:type="dxa" w:w="4200"/>
            <w:tcMar>
              <w:top w:w="80" w:type="dxa"/>
              <w:start w:w="120" w:type="dxa"/>
              <w:bottom w:w="80" w:type="dxa"/>
              <w:end w:w="120" w:type="dxa"/>
            </w:tcMar>
            <w:vAlign w:val="center"/>
          </w:tcPr>
          <w:p>
            <w:pPr>
              <w:spacing w:after="0"/>
            </w:pPr>
            <w:r>
              <w:rPr>
                <w:rFonts w:ascii="Calibri" w:hAnsi="Calibri"/>
                <w:sz w:val="19"/>
              </w:rPr>
              <w:t>analytics-engine/tests/test_ibkr_history.py</w:t>
            </w:r>
          </w:p>
        </w:tc>
        <w:tc>
          <w:tcPr>
            <w:tcW w:type="dxa" w:w="5160"/>
            <w:tcMar>
              <w:top w:w="80" w:type="dxa"/>
              <w:start w:w="120" w:type="dxa"/>
              <w:bottom w:w="80" w:type="dxa"/>
              <w:end w:w="120" w:type="dxa"/>
            </w:tcMar>
            <w:vAlign w:val="center"/>
          </w:tcPr>
          <w:p>
            <w:pPr>
              <w:spacing w:after="0"/>
            </w:pPr>
            <w:r>
              <w:rPr>
                <w:rFonts w:ascii="Calibri" w:hAnsi="Calibri"/>
                <w:sz w:val="19"/>
              </w:rPr>
              <w:t>Deterministic date, join, filtering, and schema tests</w:t>
            </w:r>
          </w:p>
        </w:tc>
      </w:tr>
      <w:tr>
        <w:tc>
          <w:tcPr>
            <w:tcW w:type="dxa" w:w="4200"/>
            <w:tcMar>
              <w:top w:w="80" w:type="dxa"/>
              <w:start w:w="120" w:type="dxa"/>
              <w:bottom w:w="80" w:type="dxa"/>
              <w:end w:w="120" w:type="dxa"/>
            </w:tcMar>
            <w:vAlign w:val="center"/>
          </w:tcPr>
          <w:p>
            <w:pPr>
              <w:spacing w:after="0"/>
            </w:pPr>
            <w:r>
              <w:rPr>
                <w:rFonts w:ascii="Calibri" w:hAnsi="Calibri"/>
                <w:sz w:val="19"/>
              </w:rPr>
              <w:t>context-daily-history.csv</w:t>
            </w:r>
          </w:p>
        </w:tc>
        <w:tc>
          <w:tcPr>
            <w:tcW w:type="dxa" w:w="5160"/>
            <w:tcMar>
              <w:top w:w="80" w:type="dxa"/>
              <w:start w:w="120" w:type="dxa"/>
              <w:bottom w:w="80" w:type="dxa"/>
              <w:end w:w="120" w:type="dxa"/>
            </w:tcMar>
            <w:vAlign w:val="center"/>
          </w:tcPr>
          <w:p>
            <w:pPr>
              <w:spacing w:after="0"/>
            </w:pPr>
            <w:r>
              <w:rPr>
                <w:rFonts w:ascii="Calibri" w:hAnsi="Calibri"/>
                <w:sz w:val="19"/>
              </w:rPr>
              <w:t>Ignored local provider-independent acquisition output</w:t>
            </w:r>
          </w:p>
        </w:tc>
      </w:tr>
      <w:tr>
        <w:tc>
          <w:tcPr>
            <w:tcW w:type="dxa" w:w="4200"/>
            <w:tcMar>
              <w:top w:w="80" w:type="dxa"/>
              <w:start w:w="120" w:type="dxa"/>
              <w:bottom w:w="80" w:type="dxa"/>
              <w:end w:w="120" w:type="dxa"/>
            </w:tcMar>
            <w:vAlign w:val="center"/>
          </w:tcPr>
          <w:p>
            <w:pPr>
              <w:spacing w:after="0"/>
            </w:pPr>
            <w:r>
              <w:rPr>
                <w:rFonts w:ascii="Calibri" w:hAnsi="Calibri"/>
                <w:sz w:val="19"/>
              </w:rPr>
              <w:t>tos_adapter_v2.py</w:t>
            </w:r>
          </w:p>
        </w:tc>
        <w:tc>
          <w:tcPr>
            <w:tcW w:type="dxa" w:w="5160"/>
            <w:tcMar>
              <w:top w:w="80" w:type="dxa"/>
              <w:start w:w="120" w:type="dxa"/>
              <w:bottom w:w="80" w:type="dxa"/>
              <w:end w:w="120" w:type="dxa"/>
            </w:tcMar>
            <w:vAlign w:val="center"/>
          </w:tcPr>
          <w:p>
            <w:pPr>
              <w:spacing w:after="0"/>
            </w:pPr>
            <w:r>
              <w:rPr>
                <w:rFonts w:ascii="Calibri" w:hAnsi="Calibri"/>
                <w:sz w:val="19"/>
              </w:rPr>
              <w:t>Existing Thinkorswim symbol-evidence input normalization for Candidate 2</w:t>
            </w:r>
          </w:p>
        </w:tc>
      </w:tr>
      <w:tr>
        <w:tc>
          <w:tcPr>
            <w:tcW w:type="dxa" w:w="4200"/>
            <w:tcMar>
              <w:top w:w="80" w:type="dxa"/>
              <w:start w:w="120" w:type="dxa"/>
              <w:bottom w:w="80" w:type="dxa"/>
              <w:end w:w="120" w:type="dxa"/>
            </w:tcMar>
            <w:vAlign w:val="center"/>
          </w:tcPr>
          <w:p>
            <w:pPr>
              <w:spacing w:after="0"/>
            </w:pPr>
            <w:r>
              <w:rPr>
                <w:rFonts w:ascii="Calibri" w:hAnsi="Calibri"/>
                <w:sz w:val="19"/>
              </w:rPr>
              <w:t>evidence_engine_v2.py</w:t>
            </w:r>
          </w:p>
        </w:tc>
        <w:tc>
          <w:tcPr>
            <w:tcW w:type="dxa" w:w="5160"/>
            <w:tcMar>
              <w:top w:w="80" w:type="dxa"/>
              <w:start w:w="120" w:type="dxa"/>
              <w:bottom w:w="80" w:type="dxa"/>
              <w:end w:w="120" w:type="dxa"/>
            </w:tcMar>
            <w:vAlign w:val="center"/>
          </w:tcPr>
          <w:p>
            <w:pPr>
              <w:spacing w:after="0"/>
            </w:pPr>
            <w:r>
              <w:rPr>
                <w:rFonts w:ascii="Calibri" w:hAnsi="Calibri"/>
                <w:sz w:val="19"/>
              </w:rPr>
              <w:t>Existing Candidate 2 deterministic evidence evaluation</w:t>
            </w:r>
          </w:p>
        </w:tc>
      </w:tr>
    </w:tbl>
    <w:p>
      <w:pPr>
        <w:spacing w:after="0"/>
      </w:pPr>
    </w:p>
    <w:p>
      <w:pPr>
        <w:pStyle w:val="Heading1"/>
      </w:pPr>
      <w:r>
        <w:t>11. Source-of-truth references</w:t>
      </w:r>
    </w:p>
    <w:p>
      <w:pPr>
        <w:pStyle w:val="ListBullet"/>
        <w:spacing w:after="80" w:line="300" w:lineRule="auto"/>
        <w:ind w:left="540" w:hanging="271"/>
      </w:pPr>
      <w:r>
        <w:rPr>
          <w:rFonts w:ascii="Calibri" w:hAnsi="Calibri"/>
        </w:rPr>
        <w:t>docs/engineering/Market-Data-Strategy.md - provider abstraction and CSV-first MVP strategy</w:t>
      </w:r>
    </w:p>
    <w:p>
      <w:pPr>
        <w:pStyle w:val="ListBullet"/>
        <w:spacing w:after="80" w:line="300" w:lineRule="auto"/>
        <w:ind w:left="540" w:hanging="271"/>
      </w:pPr>
      <w:r>
        <w:rPr>
          <w:rFonts w:ascii="Calibri" w:hAnsi="Calibri"/>
        </w:rPr>
        <w:t>docs/governance/decisions/ADR-003-Market-Data-Evolution.md - phased market-data evolution</w:t>
      </w:r>
    </w:p>
    <w:p>
      <w:pPr>
        <w:pStyle w:val="ListBullet"/>
        <w:spacing w:after="80" w:line="300" w:lineRule="auto"/>
        <w:ind w:left="540" w:hanging="271"/>
      </w:pPr>
      <w:r>
        <w:rPr>
          <w:rFonts w:ascii="Calibri" w:hAnsi="Calibri"/>
        </w:rPr>
        <w:t>docs/engineering/M0-Data-Acquisition-Requirements.md - exact approved files, symbols, and validation rules</w:t>
      </w:r>
    </w:p>
    <w:p>
      <w:pPr>
        <w:pStyle w:val="ListBullet"/>
        <w:spacing w:after="80" w:line="300" w:lineRule="auto"/>
        <w:ind w:left="540" w:hanging="271"/>
      </w:pPr>
      <w:r>
        <w:rPr>
          <w:rFonts w:ascii="Calibri" w:hAnsi="Calibri"/>
        </w:rPr>
        <w:t>docs/engineering/Evidence-Engine-Specification.md - Evidence Engine responsibility boundary</w:t>
      </w:r>
    </w:p>
    <w:p>
      <w:pPr>
        <w:pStyle w:val="ListBullet"/>
        <w:spacing w:after="80" w:line="300" w:lineRule="auto"/>
        <w:ind w:left="540" w:hanging="271"/>
      </w:pPr>
      <w:r>
        <w:rPr>
          <w:rFonts w:ascii="Calibri" w:hAnsi="Calibri"/>
        </w:rPr>
        <w:t>analytics-engine/README.md - current engine status and operating commands</w:t>
      </w:r>
    </w:p>
    <w:p>
      <w:pPr>
        <w:pStyle w:val="ListBullet"/>
        <w:spacing w:after="80" w:line="300" w:lineRule="auto"/>
        <w:ind w:left="540" w:hanging="271"/>
      </w:pPr>
      <w:r>
        <w:rPr>
          <w:rFonts w:ascii="Calibri" w:hAnsi="Calibri"/>
        </w:rPr>
        <w:t>analytics-engine/docs/V2_CANDIDATE_2_VALIDATION.md - Candidate 2 validation status and interpretation limits</w:t>
      </w:r>
    </w:p>
    <w:p>
      <w:pPr>
        <w:spacing w:before="80" w:after="200" w:line="283" w:lineRule="auto"/>
        <w:ind w:left="202" w:right="202"/>
        <w:shd w:fill="E7F4EA"/>
        <w:pBdr>
          <w:left w:val="single" w:sz="18" w:space="8" w:color="2E74B5"/>
        </w:pBdr>
      </w:pPr>
      <w:r>
        <w:rPr>
          <w:rFonts w:ascii="Calibri" w:hAnsi="Calibri"/>
          <w:b/>
          <w:color w:val="17365D"/>
        </w:rPr>
        <w:t xml:space="preserve">Product boundary  </w:t>
      </w:r>
      <w:r>
        <w:rPr>
          <w:rFonts w:ascii="Calibri" w:hAnsi="Calibri"/>
          <w:color w:val="17365D"/>
        </w:rPr>
        <w:t>TradeEvidence organizes and explains evidence for self-directed traders. It does not provide personalized financial advice, execute trades, or replace the trader's judgment.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TRADEEVIDENCE  |  OPERATING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TradeEvidence IBKR Data Acquisition and Candidate 2 Consumption Guide</dc:title>
  <dc:subject>Founder operating guide for market-data acquisition and analytics consumption</dc:subject>
  <dc:creator>TradeEvidence</dc:creator>
  <cp:keywords>TradeEvidence, IBKR, TWS, Candidate 2, market data, analytics</cp:keywords>
  <dc:description>Generated from approved repository documentation and validated implementation.</dc:description>
  <cp:lastModifiedBy/>
  <cp:revision>1</cp:revision>
  <dcterms:created xsi:type="dcterms:W3CDTF">2013-12-23T23:15:00Z</dcterms:created>
  <dcterms:modified xsi:type="dcterms:W3CDTF">2013-12-23T23:15:00Z</dcterms:modified>
  <cp:category/>
</cp:coreProperties>
</file>