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b/>
          <w:sz w:val="8"/>
          <w:szCs w:val="8"/>
        </w:rPr>
      </w:pPr>
    </w:p>
    <w:tbl>
      <w:tblPr>
        <w:tblStyle w:val="14"/>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Mod-3: Activity(26-31)</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1:30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3:00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1"/>
              </w:numPr>
              <w:spacing w:before="40" w:after="0" w:afterAutospacing="0"/>
              <w:ind w:left="720" w:hanging="360"/>
              <w:rPr>
                <w:sz w:val="18"/>
                <w:szCs w:val="18"/>
                <w:u w:val="none"/>
              </w:rPr>
            </w:pPr>
            <w:r>
              <w:rPr>
                <w:sz w:val="18"/>
                <w:szCs w:val="18"/>
                <w:rtl w:val="0"/>
              </w:rPr>
              <w:t>The Loader API lets you load data from a content provider or other data source for display in an FragmentActivity or Fragment.</w:t>
            </w:r>
          </w:p>
          <w:p>
            <w:pPr>
              <w:numPr>
                <w:ilvl w:val="0"/>
                <w:numId w:val="1"/>
              </w:numPr>
              <w:spacing w:before="0" w:beforeAutospacing="0" w:after="0" w:afterAutospacing="0"/>
              <w:ind w:left="720" w:hanging="360"/>
              <w:rPr>
                <w:sz w:val="18"/>
                <w:szCs w:val="18"/>
                <w:u w:val="none"/>
              </w:rPr>
            </w:pPr>
            <w:r>
              <w:rPr>
                <w:sz w:val="18"/>
                <w:szCs w:val="18"/>
                <w:rtl w:val="0"/>
              </w:rPr>
              <w:t>Fetching the data directly in the activity or fragment, from another thread will leads to loose responsiveness.</w:t>
            </w:r>
          </w:p>
          <w:p>
            <w:pPr>
              <w:numPr>
                <w:ilvl w:val="0"/>
                <w:numId w:val="1"/>
              </w:numPr>
              <w:spacing w:before="0" w:beforeAutospacing="0" w:after="0" w:afterAutospacing="0"/>
              <w:ind w:left="720" w:hanging="360"/>
              <w:rPr>
                <w:sz w:val="18"/>
                <w:szCs w:val="18"/>
                <w:u w:val="none"/>
              </w:rPr>
            </w:pPr>
            <w:r>
              <w:rPr>
                <w:sz w:val="18"/>
                <w:szCs w:val="18"/>
                <w:rtl w:val="0"/>
              </w:rPr>
              <w:t>Loaders solve these problems and includes other benefits.</w:t>
            </w:r>
          </w:p>
          <w:p>
            <w:pPr>
              <w:numPr>
                <w:ilvl w:val="0"/>
                <w:numId w:val="1"/>
              </w:numPr>
              <w:spacing w:before="0" w:beforeAutospacing="0" w:after="0" w:afterAutospacing="0"/>
              <w:ind w:left="720" w:hanging="360"/>
              <w:rPr>
                <w:sz w:val="18"/>
                <w:szCs w:val="18"/>
                <w:u w:val="none"/>
              </w:rPr>
            </w:pPr>
            <w:r>
              <w:rPr>
                <w:sz w:val="18"/>
                <w:szCs w:val="18"/>
                <w:rtl w:val="0"/>
              </w:rPr>
              <w:t>Loaders run on separate threads to prevent janky or unresponsive UI.</w:t>
            </w:r>
          </w:p>
          <w:p>
            <w:pPr>
              <w:numPr>
                <w:ilvl w:val="0"/>
                <w:numId w:val="1"/>
              </w:numPr>
              <w:spacing w:before="0" w:beforeAutospacing="0" w:after="0" w:afterAutospacing="0"/>
              <w:ind w:left="720" w:hanging="360"/>
              <w:rPr>
                <w:sz w:val="18"/>
                <w:szCs w:val="18"/>
                <w:u w:val="none"/>
              </w:rPr>
            </w:pPr>
            <w:r>
              <w:rPr>
                <w:sz w:val="18"/>
                <w:szCs w:val="18"/>
                <w:rtl w:val="0"/>
              </w:rPr>
              <w:t>Loaders simplify thread management by providing callback methods when events occur.</w:t>
            </w:r>
          </w:p>
          <w:p>
            <w:pPr>
              <w:numPr>
                <w:ilvl w:val="0"/>
                <w:numId w:val="1"/>
              </w:numPr>
              <w:spacing w:before="0" w:beforeAutospacing="0" w:after="0" w:afterAutospacing="0"/>
              <w:ind w:left="720" w:hanging="360"/>
              <w:rPr>
                <w:sz w:val="18"/>
                <w:szCs w:val="18"/>
                <w:u w:val="none"/>
              </w:rPr>
            </w:pPr>
            <w:r>
              <w:rPr>
                <w:sz w:val="18"/>
                <w:szCs w:val="18"/>
                <w:rtl w:val="0"/>
              </w:rPr>
              <w:t>The LoaderManager manages one or more Loader instances within an FragmentActivity or Fragment. There is only one LoaderManager per activity or fragment.</w:t>
            </w:r>
          </w:p>
          <w:p>
            <w:pPr>
              <w:numPr>
                <w:ilvl w:val="0"/>
                <w:numId w:val="1"/>
              </w:numPr>
              <w:spacing w:before="0" w:beforeAutospacing="0"/>
              <w:ind w:left="720" w:hanging="360"/>
              <w:rPr>
                <w:sz w:val="18"/>
                <w:szCs w:val="18"/>
                <w:u w:val="none"/>
              </w:rPr>
            </w:pPr>
            <w:r>
              <w:rPr>
                <w:sz w:val="18"/>
                <w:szCs w:val="18"/>
                <w:rtl w:val="0"/>
              </w:rPr>
              <w:t>When you use initLoader(), t uses an existing loader with the specified ID if there is one. If there isn't, it creates one. But sometimes you want to discard your old data and start over.</w:t>
            </w:r>
          </w:p>
        </w:tc>
      </w:tr>
    </w:tbl>
    <w:p/>
    <w:p>
      <w:pPr>
        <w:rPr>
          <w:b/>
          <w:sz w:val="8"/>
          <w:szCs w:val="8"/>
        </w:rPr>
      </w:pPr>
    </w:p>
    <w:tbl>
      <w:tblPr>
        <w:tblStyle w:val="15"/>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Activity(32-40)</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3:20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6:00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2"/>
              </w:numPr>
              <w:spacing w:before="40" w:after="0" w:afterAutospacing="0"/>
              <w:ind w:left="720" w:hanging="360"/>
              <w:rPr>
                <w:sz w:val="18"/>
                <w:szCs w:val="18"/>
                <w:u w:val="none"/>
              </w:rPr>
            </w:pPr>
            <w:r>
              <w:rPr>
                <w:sz w:val="18"/>
                <w:szCs w:val="18"/>
                <w:rtl w:val="0"/>
              </w:rPr>
              <w:t xml:space="preserve">The basic Preference UI building block displayed by a PreferenceActivity in the form of a ListView. </w:t>
            </w:r>
          </w:p>
          <w:p>
            <w:pPr>
              <w:numPr>
                <w:ilvl w:val="0"/>
                <w:numId w:val="2"/>
              </w:numPr>
              <w:spacing w:before="0" w:beforeAutospacing="0" w:after="0" w:afterAutospacing="0"/>
              <w:ind w:left="720" w:hanging="360"/>
              <w:rPr>
                <w:sz w:val="18"/>
                <w:szCs w:val="18"/>
                <w:u w:val="none"/>
              </w:rPr>
            </w:pPr>
            <w:r>
              <w:rPr>
                <w:sz w:val="18"/>
                <w:szCs w:val="18"/>
                <w:rtl w:val="0"/>
              </w:rPr>
              <w:t>This class provides the View to be displayed in the activity and associates with a SharedPreferences to store/retrieve the preference data.</w:t>
            </w:r>
          </w:p>
          <w:p>
            <w:pPr>
              <w:numPr>
                <w:ilvl w:val="0"/>
                <w:numId w:val="2"/>
              </w:numPr>
              <w:spacing w:before="0" w:beforeAutospacing="0" w:after="0" w:afterAutospacing="0"/>
              <w:ind w:left="720" w:hanging="360"/>
              <w:rPr>
                <w:sz w:val="18"/>
                <w:szCs w:val="18"/>
                <w:u w:val="none"/>
              </w:rPr>
            </w:pPr>
            <w:r>
              <w:rPr>
                <w:sz w:val="18"/>
                <w:szCs w:val="18"/>
                <w:rtl w:val="0"/>
              </w:rPr>
              <w:t>When specifying a preference hierarchy in XML, each element can point to a subclass of Preference, similar to the view hierarchy and layouts.</w:t>
            </w:r>
          </w:p>
          <w:p>
            <w:pPr>
              <w:numPr>
                <w:ilvl w:val="0"/>
                <w:numId w:val="2"/>
              </w:numPr>
              <w:spacing w:before="0" w:beforeAutospacing="0" w:after="0" w:afterAutospacing="0"/>
              <w:ind w:left="720" w:hanging="360"/>
              <w:rPr>
                <w:sz w:val="18"/>
                <w:szCs w:val="18"/>
                <w:u w:val="none"/>
              </w:rPr>
            </w:pPr>
            <w:r>
              <w:rPr>
                <w:sz w:val="18"/>
                <w:szCs w:val="18"/>
                <w:rtl w:val="0"/>
              </w:rPr>
              <w:t>The Visualizer class enables application to retrieve part of the currently playing audio for visualization purpose.</w:t>
            </w:r>
          </w:p>
          <w:p>
            <w:pPr>
              <w:numPr>
                <w:ilvl w:val="0"/>
                <w:numId w:val="2"/>
              </w:numPr>
              <w:spacing w:before="0" w:beforeAutospacing="0" w:after="0" w:afterAutospacing="0"/>
              <w:ind w:left="720" w:hanging="360"/>
              <w:rPr>
                <w:sz w:val="18"/>
                <w:szCs w:val="18"/>
                <w:u w:val="none"/>
              </w:rPr>
            </w:pPr>
            <w:r>
              <w:rPr>
                <w:sz w:val="18"/>
                <w:szCs w:val="18"/>
                <w:rtl w:val="0"/>
              </w:rPr>
              <w:t xml:space="preserve"> It is not an audio recording interface and only returns partial and low quality audio content. However, to protect privacy of certain audio data, the use of the visualizer requires the permission android.permission.</w:t>
            </w:r>
          </w:p>
          <w:p>
            <w:pPr>
              <w:numPr>
                <w:ilvl w:val="0"/>
                <w:numId w:val="2"/>
              </w:numPr>
              <w:spacing w:before="0" w:beforeAutospacing="0" w:after="0" w:afterAutospacing="0"/>
              <w:ind w:left="720" w:hanging="360"/>
              <w:rPr>
                <w:sz w:val="18"/>
                <w:szCs w:val="18"/>
                <w:u w:val="none"/>
              </w:rPr>
            </w:pPr>
            <w:r>
              <w:rPr>
                <w:sz w:val="18"/>
                <w:szCs w:val="18"/>
                <w:rtl w:val="0"/>
              </w:rPr>
              <w:t>Android provides several options for you to save your app data.</w:t>
            </w:r>
          </w:p>
          <w:p>
            <w:pPr>
              <w:numPr>
                <w:ilvl w:val="0"/>
                <w:numId w:val="2"/>
              </w:numPr>
              <w:spacing w:before="0" w:beforeAutospacing="0" w:after="0" w:afterAutospacing="0"/>
              <w:ind w:left="720" w:hanging="360"/>
              <w:rPr>
                <w:sz w:val="18"/>
                <w:szCs w:val="18"/>
                <w:u w:val="none"/>
              </w:rPr>
            </w:pPr>
            <w:r>
              <w:rPr>
                <w:sz w:val="18"/>
                <w:szCs w:val="18"/>
                <w:rtl w:val="0"/>
              </w:rPr>
              <w:t>The preference hierarchy can be formed in multiple ways:</w:t>
            </w:r>
          </w:p>
          <w:p>
            <w:pPr>
              <w:numPr>
                <w:ilvl w:val="1"/>
                <w:numId w:val="2"/>
              </w:numPr>
              <w:spacing w:before="0" w:beforeAutospacing="0" w:after="0" w:afterAutospacing="0"/>
              <w:ind w:left="1440" w:hanging="360"/>
              <w:rPr>
                <w:sz w:val="18"/>
                <w:szCs w:val="18"/>
                <w:u w:val="none"/>
              </w:rPr>
            </w:pPr>
            <w:r>
              <w:rPr>
                <w:sz w:val="18"/>
                <w:szCs w:val="18"/>
                <w:rtl w:val="0"/>
              </w:rPr>
              <w:t>From an XML file specifying the hierarchy</w:t>
            </w:r>
          </w:p>
          <w:p>
            <w:pPr>
              <w:numPr>
                <w:ilvl w:val="1"/>
                <w:numId w:val="2"/>
              </w:numPr>
              <w:spacing w:before="0" w:beforeAutospacing="0" w:after="0" w:afterAutospacing="0"/>
              <w:ind w:left="1440" w:hanging="360"/>
              <w:rPr>
                <w:sz w:val="18"/>
                <w:szCs w:val="18"/>
                <w:u w:val="none"/>
              </w:rPr>
            </w:pPr>
            <w:r>
              <w:rPr>
                <w:sz w:val="18"/>
                <w:szCs w:val="18"/>
                <w:rtl w:val="0"/>
              </w:rPr>
              <w:t>From different Activity that each specify its own preferences in an XML file via Activity meta-data.</w:t>
            </w:r>
          </w:p>
          <w:p>
            <w:pPr>
              <w:numPr>
                <w:ilvl w:val="0"/>
                <w:numId w:val="2"/>
              </w:numPr>
              <w:spacing w:before="0" w:beforeAutospacing="0" w:after="0" w:afterAutospacing="0"/>
              <w:ind w:left="720" w:hanging="360"/>
              <w:rPr>
                <w:sz w:val="18"/>
                <w:szCs w:val="18"/>
                <w:u w:val="none"/>
              </w:rPr>
            </w:pPr>
            <w:r>
              <w:rPr>
                <w:sz w:val="18"/>
                <w:szCs w:val="18"/>
                <w:rtl w:val="0"/>
              </w:rPr>
              <w:t xml:space="preserve">If you are developing apps for the enterprise market, you may need to satisfy particular requirements set by a organization's policies. </w:t>
            </w:r>
          </w:p>
          <w:p>
            <w:pPr>
              <w:numPr>
                <w:ilvl w:val="0"/>
                <w:numId w:val="2"/>
              </w:numPr>
              <w:spacing w:before="0" w:beforeAutospacing="0" w:after="0" w:afterAutospacing="0"/>
              <w:ind w:left="720" w:hanging="360"/>
              <w:rPr>
                <w:sz w:val="18"/>
                <w:szCs w:val="18"/>
                <w:u w:val="none"/>
              </w:rPr>
            </w:pPr>
            <w:r>
              <w:rPr>
                <w:sz w:val="18"/>
                <w:szCs w:val="18"/>
                <w:rtl w:val="0"/>
              </w:rPr>
              <w:t>Managed configurations, previously known as application restrictions, allow the organization's IT admin to remotely specify settings for apps.</w:t>
            </w:r>
          </w:p>
          <w:p>
            <w:pPr>
              <w:numPr>
                <w:ilvl w:val="0"/>
                <w:numId w:val="2"/>
              </w:numPr>
              <w:spacing w:before="0" w:beforeAutospacing="0"/>
              <w:ind w:left="720" w:hanging="360"/>
              <w:rPr>
                <w:sz w:val="18"/>
                <w:szCs w:val="18"/>
                <w:u w:val="none"/>
              </w:rPr>
            </w:pPr>
            <w:r>
              <w:rPr>
                <w:sz w:val="18"/>
                <w:szCs w:val="18"/>
                <w:rtl w:val="0"/>
              </w:rPr>
              <w:t xml:space="preserve"> This capability is particularly useful for organization-approved apps deployed to a work profile.</w:t>
            </w:r>
          </w:p>
        </w:tc>
      </w:tr>
    </w:tbl>
    <w:p/>
    <w:p>
      <w:pPr>
        <w:rPr>
          <w:b/>
          <w:sz w:val="8"/>
          <w:szCs w:val="8"/>
        </w:rPr>
      </w:pPr>
    </w:p>
    <w:tbl>
      <w:tblPr>
        <w:tblStyle w:val="16"/>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Activity(41-47)</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6:30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9:00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3"/>
              </w:numPr>
              <w:spacing w:before="40" w:after="0" w:afterAutospacing="0"/>
              <w:ind w:left="720" w:hanging="360"/>
              <w:rPr>
                <w:sz w:val="18"/>
                <w:szCs w:val="18"/>
                <w:u w:val="none"/>
              </w:rPr>
            </w:pPr>
            <w:r>
              <w:rPr>
                <w:sz w:val="18"/>
                <w:szCs w:val="18"/>
                <w:rtl w:val="0"/>
              </w:rPr>
              <w:t>Interface for accessing and modifying preference data returned by Context#getSharedPreferences.</w:t>
            </w:r>
          </w:p>
          <w:p>
            <w:pPr>
              <w:numPr>
                <w:ilvl w:val="0"/>
                <w:numId w:val="3"/>
              </w:numPr>
              <w:spacing w:before="0" w:beforeAutospacing="0" w:after="0" w:afterAutospacing="0"/>
              <w:ind w:left="720" w:hanging="360"/>
              <w:rPr>
                <w:sz w:val="18"/>
                <w:szCs w:val="18"/>
                <w:u w:val="none"/>
              </w:rPr>
            </w:pPr>
            <w:r>
              <w:rPr>
                <w:sz w:val="18"/>
                <w:szCs w:val="18"/>
                <w:rtl w:val="0"/>
              </w:rPr>
              <w:t xml:space="preserve"> For any particular set of preferences, there is a single instance of this class that all clients share. </w:t>
            </w:r>
          </w:p>
          <w:p>
            <w:pPr>
              <w:numPr>
                <w:ilvl w:val="0"/>
                <w:numId w:val="3"/>
              </w:numPr>
              <w:spacing w:before="0" w:beforeAutospacing="0" w:after="0" w:afterAutospacing="0"/>
              <w:ind w:left="720" w:hanging="360"/>
              <w:rPr>
                <w:sz w:val="18"/>
                <w:szCs w:val="18"/>
                <w:u w:val="none"/>
              </w:rPr>
            </w:pPr>
            <w:r>
              <w:rPr>
                <w:sz w:val="18"/>
                <w:szCs w:val="18"/>
                <w:rtl w:val="0"/>
              </w:rPr>
              <w:t>Modifications to the preferences must go through an Editor object to ensure the preference values remain in a consistent state and control when they are committed to storage.</w:t>
            </w:r>
          </w:p>
          <w:p>
            <w:pPr>
              <w:numPr>
                <w:ilvl w:val="0"/>
                <w:numId w:val="3"/>
              </w:numPr>
              <w:spacing w:before="0" w:beforeAutospacing="0" w:after="0" w:afterAutospacing="0"/>
              <w:ind w:left="720" w:hanging="360"/>
              <w:rPr>
                <w:sz w:val="18"/>
                <w:szCs w:val="18"/>
                <w:u w:val="none"/>
              </w:rPr>
            </w:pPr>
            <w:r>
              <w:rPr>
                <w:sz w:val="18"/>
                <w:szCs w:val="18"/>
                <w:rtl w:val="0"/>
              </w:rPr>
              <w:t>Objects that are returned from the various get methods must be treated as immutable by the application.</w:t>
            </w:r>
          </w:p>
          <w:p>
            <w:pPr>
              <w:numPr>
                <w:ilvl w:val="0"/>
                <w:numId w:val="3"/>
              </w:numPr>
              <w:spacing w:before="0" w:beforeAutospacing="0"/>
              <w:ind w:left="720" w:hanging="360"/>
              <w:rPr>
                <w:sz w:val="18"/>
                <w:szCs w:val="18"/>
                <w:u w:val="none"/>
              </w:rPr>
            </w:pPr>
            <w:r>
              <w:rPr>
                <w:sz w:val="18"/>
                <w:szCs w:val="18"/>
                <w:rtl w:val="0"/>
              </w:rPr>
              <w:t>Resources are the additional files and static content that your code uses, such as bitmaps, layout definitions, user interface strings, animation instructions, and more.</w:t>
            </w:r>
          </w:p>
        </w:tc>
      </w:tr>
    </w:tbl>
    <w:p/>
    <w:p>
      <w:pPr>
        <w:rPr>
          <w:b/>
          <w:sz w:val="8"/>
          <w:szCs w:val="8"/>
        </w:rPr>
      </w:pPr>
    </w:p>
    <w:p>
      <w:pPr>
        <w:rPr>
          <w:b/>
          <w:sz w:val="8"/>
          <w:szCs w:val="8"/>
        </w:rPr>
      </w:pPr>
    </w:p>
    <w:tbl>
      <w:tblPr>
        <w:tblStyle w:val="17"/>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9358"/>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20" w:hRule="atLeast"/>
        </w:trPr>
        <w:tc>
          <w:tcPr>
            <w:tcW w:w="9358"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ind w:left="20" w:firstLine="0"/>
              <w:rPr>
                <w:b/>
                <w:u w:val="single"/>
              </w:rPr>
            </w:pPr>
            <w:r>
              <w:rPr>
                <w:b/>
                <w:u w:val="single"/>
                <w:rtl w:val="0"/>
              </w:rPr>
              <w:t>Deliverable Status</w:t>
            </w:r>
          </w:p>
        </w:tc>
      </w:tr>
    </w:tbl>
    <w:p>
      <w:pPr>
        <w:rPr>
          <w:b/>
          <w:rtl w:val="0"/>
        </w:rPr>
      </w:pPr>
      <w:r>
        <w:rPr>
          <w:b/>
          <w:rtl w:val="0"/>
        </w:rPr>
        <w:t xml:space="preserve"> </w:t>
      </w:r>
    </w:p>
    <w:p>
      <w:pPr>
        <w:rPr>
          <w:b/>
          <w:rtl w:val="0"/>
          <w:lang w:val="en-IN"/>
        </w:rPr>
      </w:pPr>
      <w:r>
        <w:rPr>
          <w:b/>
          <w:rtl w:val="0"/>
          <w:lang w:val="en-IN"/>
        </w:rPr>
        <w:t>Module-4:</w:t>
      </w:r>
      <w:bookmarkStart w:id="0" w:name="_GoBack"/>
      <w:bookmarkEnd w:id="0"/>
    </w:p>
    <w:p>
      <w:r>
        <w:rPr>
          <w:rFonts w:hint="default"/>
        </w:rPr>
        <w:t>https://github.com/manojbandari/Android/tree/master/module-4</w:t>
      </w:r>
    </w:p>
    <w:sectPr>
      <w:headerReference r:id="rId3"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8"/>
      <w:tblW w:w="9359"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85"/>
      <w:gridCol w:w="34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620" w:hRule="atLeast"/>
      </w:trPr>
      <w:tc>
        <w:tcPr>
          <w:tcW w:w="9359" w:type="dxa"/>
          <w:gridSpan w:val="2"/>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ind w:left="20" w:firstLine="0"/>
            <w:rPr>
              <w:b/>
              <w:sz w:val="36"/>
              <w:szCs w:val="36"/>
            </w:rPr>
          </w:pPr>
          <w:r>
            <w:rPr>
              <w:b/>
              <w:sz w:val="36"/>
              <w:szCs w:val="36"/>
              <w:rtl w:val="0"/>
            </w:rPr>
            <w:t xml:space="preserve">Course: </w:t>
          </w:r>
          <w:r>
            <w:rPr>
              <w:b/>
              <w:rtl w:val="0"/>
            </w:rPr>
            <w:t>MP-2019</w:t>
          </w:r>
          <w:r>
            <w:rPr>
              <w:b/>
              <w:sz w:val="36"/>
              <w:szCs w:val="36"/>
              <w:rtl w:val="0"/>
            </w:rPr>
            <w:tab/>
          </w:r>
          <w:r>
            <w:rPr>
              <w:b/>
              <w:sz w:val="36"/>
              <w:szCs w:val="36"/>
              <w:rtl w:val="0"/>
            </w:rPr>
            <w:t>Engineering Notebook - Daily</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440" w:hRule="atLeast"/>
      </w:trPr>
      <w:tc>
        <w:tcPr>
          <w:tcW w:w="5885" w:type="dxa"/>
          <w:tcBorders>
            <w:top w:val="single" w:color="808080" w:sz="6" w:space="0"/>
            <w:left w:val="single" w:color="808080" w:sz="6" w:space="0"/>
            <w:bottom w:val="single" w:color="808080" w:sz="6" w:space="0"/>
            <w:right w:val="single" w:color="808080" w:sz="6" w:space="0"/>
          </w:tcBorders>
          <w:shd w:val="clear" w:color="auto" w:fill="auto"/>
          <w:tcMar>
            <w:top w:w="100" w:type="dxa"/>
            <w:left w:w="100" w:type="dxa"/>
            <w:bottom w:w="100" w:type="dxa"/>
            <w:right w:w="100" w:type="dxa"/>
          </w:tcMar>
          <w:vAlign w:val="top"/>
        </w:tcPr>
        <w:p>
          <w:pPr>
            <w:ind w:left="20" w:firstLine="0"/>
            <w:rPr>
              <w:b/>
              <w:sz w:val="20"/>
              <w:szCs w:val="20"/>
              <w:lang w:val="en-IN"/>
            </w:rPr>
          </w:pPr>
          <w:r>
            <w:rPr>
              <w:b/>
              <w:sz w:val="20"/>
              <w:szCs w:val="20"/>
              <w:rtl w:val="0"/>
            </w:rPr>
            <w:t xml:space="preserve">Engineer: </w:t>
          </w:r>
          <w:r>
            <w:rPr>
              <w:b/>
              <w:sz w:val="20"/>
              <w:szCs w:val="20"/>
              <w:rtl w:val="0"/>
              <w:lang w:val="en-IN"/>
            </w:rPr>
            <w:t>Manoj kumar Bandari</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100" w:type="dxa"/>
            <w:left w:w="100" w:type="dxa"/>
            <w:bottom w:w="100" w:type="dxa"/>
            <w:right w:w="100" w:type="dxa"/>
          </w:tcMar>
          <w:vAlign w:val="top"/>
        </w:tcPr>
        <w:p>
          <w:pPr>
            <w:ind w:left="20" w:firstLine="0"/>
            <w:rPr>
              <w:b/>
              <w:sz w:val="20"/>
              <w:szCs w:val="20"/>
            </w:rPr>
          </w:pPr>
          <w:r>
            <w:rPr>
              <w:b/>
              <w:sz w:val="20"/>
              <w:szCs w:val="20"/>
              <w:rtl w:val="0"/>
            </w:rPr>
            <w:t>Date:</w:t>
          </w:r>
          <w:r>
            <w:rPr>
              <w:sz w:val="20"/>
              <w:szCs w:val="20"/>
              <w:rtl w:val="0"/>
            </w:rPr>
            <w:t xml:space="preserve"> </w:t>
          </w:r>
          <w:r>
            <w:rPr>
              <w:b/>
              <w:sz w:val="20"/>
              <w:szCs w:val="20"/>
              <w:rtl w:val="0"/>
            </w:rPr>
            <w:t>2019-03-14</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cumentProtection w:enforcement="0"/>
  <w:defaultTabStop w:val="720"/>
  <w:compat>
    <w:compatSetting w:name="compatibilityMode" w:uri="http://schemas.microsoft.com/office/word" w:val="14"/>
  </w:compat>
  <w:rsids>
    <w:rsidRoot w:val="00000000"/>
    <w:rsid w:val="02A258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table" w:customStyle="1" w:styleId="13">
    <w:name w:val="Table Normal1"/>
    <w:uiPriority w:val="0"/>
  </w:style>
  <w:style w:type="table" w:customStyle="1" w:styleId="14">
    <w:name w:val="_Style 10"/>
    <w:basedOn w:val="13"/>
    <w:uiPriority w:val="0"/>
    <w:tblPr>
      <w:tblLayout w:type="fixed"/>
      <w:tblCellMar>
        <w:top w:w="100" w:type="dxa"/>
        <w:left w:w="100" w:type="dxa"/>
        <w:bottom w:w="100" w:type="dxa"/>
        <w:right w:w="100" w:type="dxa"/>
      </w:tblCellMar>
    </w:tblPr>
  </w:style>
  <w:style w:type="table" w:customStyle="1" w:styleId="15">
    <w:name w:val="_Style 11"/>
    <w:basedOn w:val="13"/>
    <w:uiPriority w:val="0"/>
    <w:tblPr>
      <w:tblLayout w:type="fixed"/>
      <w:tblCellMar>
        <w:top w:w="100" w:type="dxa"/>
        <w:left w:w="100" w:type="dxa"/>
        <w:bottom w:w="100" w:type="dxa"/>
        <w:right w:w="100" w:type="dxa"/>
      </w:tblCellMar>
    </w:tblPr>
  </w:style>
  <w:style w:type="table" w:customStyle="1" w:styleId="16">
    <w:name w:val="_Style 12"/>
    <w:basedOn w:val="13"/>
    <w:uiPriority w:val="0"/>
    <w:tblPr>
      <w:tblLayout w:type="fixed"/>
      <w:tblCellMar>
        <w:top w:w="100" w:type="dxa"/>
        <w:left w:w="100" w:type="dxa"/>
        <w:bottom w:w="100" w:type="dxa"/>
        <w:right w:w="100" w:type="dxa"/>
      </w:tblCellMar>
    </w:tblPr>
  </w:style>
  <w:style w:type="table" w:customStyle="1" w:styleId="17">
    <w:name w:val="_Style 13"/>
    <w:basedOn w:val="13"/>
    <w:uiPriority w:val="0"/>
    <w:tblPr>
      <w:tblLayout w:type="fixed"/>
      <w:tblCellMar>
        <w:top w:w="100" w:type="dxa"/>
        <w:left w:w="100" w:type="dxa"/>
        <w:bottom w:w="100" w:type="dxa"/>
        <w:right w:w="100" w:type="dxa"/>
      </w:tblCellMar>
    </w:tblPr>
  </w:style>
  <w:style w:type="table" w:customStyle="1" w:styleId="18">
    <w:name w:val="_Style 14"/>
    <w:basedOn w:val="13"/>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2019-03-18T09:20:10Z</dcterms:created>
  <dc:creator>banda</dc:creator>
  <cp:lastModifiedBy>banda</cp:lastModifiedBy>
  <dcterms:modified xsi:type="dcterms:W3CDTF">2019-03-18T09:21:22Z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