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lookup_loan_status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LangGraph create_agent (tool-calling loop). LLM: OpenAI GPT-4o (development) / GPT-4o-mini (production target).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₹1.4 lakh — a net saving of ₹4.8 lakh/month. The one-time build cost of ₹2.4 lakh is recovered in approximately 17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lookup_loan_status, generate_escalation_summary.</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Branch visit (highest quality, slowest): 15–30 min wait + 20–30 min RM consultation. RM manually consults policy circulars, runs spreadsheet calculations, assesses FOIR, explains document requirements. Total: 40–60 min. Cost: ₹275/inquiry (fully-loaded RM rate).</w:t>
            </w:r>
          </w:p>
          <w:p w14:paraId="34E38287" w14:textId="77777777" w:rsidR="006F7785" w:rsidRDefault="00000000">
            <w:pPr>
              <w:spacing w:after="20"/>
              <w:ind w:left="173"/>
            </w:pPr>
            <w:r>
              <w:rPr>
                <w:rFonts w:ascii="Arial" w:hAnsi="Arial"/>
                <w:sz w:val="19"/>
              </w:rPr>
              <w:lastRenderedPageBreak/>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(LangGraph create_agent — tool-calling loop)</w:t>
              <w:br/>
              <w:t>calculate_emi  ·  check_eligibility  ·  get_document_checklist</w:t>
              <w:br/>
              <w:t>lookup_loan_status  ·  generate_escalation_summary</w:t>
              <w:br/>
              <w:t>All numeric outputs deterministic — LLM cannot generate financial figures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 xml:space="preserve">⑨a  GENERATE RM </w:t>
              <w:lastRenderedPageBreak/>
              <w:t>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lastRenderedPageBreak/>
              <w:t>⑨b  FEEDBACK COLLECTION</w:t>
              <w:br/>
              <w:lastRenderedPageBreak/>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(LangGraph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⑦ Response Synthesis: LLM synthesises plain-language response using tool output + 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lookup_loan_status.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 xml:space="preserve">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sz w:val="19"/>
          <w:b/>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t xml:space="preserve">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lastRenderedPageBreak/>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lastRenderedPageBreak/>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LLM-as-judge scoring: auto-scores each response for factual grounding (score 0–1). Flags sessions where LLM response contains figures not in tool output or retrieved 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1"/>
        <w:gridCol w:w="8001"/>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xml:space="preserve">•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41"/>
        <w:gridCol w:w="5183"/>
        <w:gridCol w:w="2108"/>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br/>
              <w:t>Full 9-phase dev estimate (~500 test calls): Input 875K × $0.0025/1K = $2.19; Output 300K × $0.010/1K = $3.00; plus $7 for prompt variant runs and seed sessions = ~$12.19.</w:t>
              <w:br/>
              <w:t>Note: Production deployment targets GPT-4o-mini for cost efficiency (see Section 5.2 — ₹879/month).</w:t>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30625CD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D3A71B" w14:textId="77777777" w:rsidR="006F7785" w:rsidRDefault="00000000">
            <w:pPr>
              <w:spacing w:before="20" w:after="20"/>
            </w:pPr>
            <w:r>
              <w:rPr>
                <w:rFonts w:ascii="Arial" w:hAnsi="Arial"/>
                <w:sz w:val="18"/>
              </w:rPr>
              <w:t>LangSmith (not used)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BEA2B4" w14:textId="77777777" w:rsidR="006F7785" w:rsidRDefault="00000000">
            <w:pPr>
              <w:spacing w:before="20" w:after="20"/>
            </w:pPr>
            <w:r>
              <w:rPr>
                <w:rFonts w:ascii="Arial" w:hAnsi="Arial"/>
                <w:sz w:val="18"/>
              </w:rPr>
              <w:t>Not used — replaced by Langfuse self-hosted. LangSmith cloud-only model incompatible with banking data residency requirement. See Section 4 observability rationale.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74C2D0"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058E458B"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7DD4ADD9" w14:textId="77777777" w:rsidR="006F7785" w:rsidRDefault="00000000">
            <w:pPr>
              <w:spacing w:before="60" w:after="60"/>
            </w:pPr>
            <w:r>
              <w:rPr>
                <w:rFonts w:ascii="Arial" w:hAnsi="Arial"/>
                <w:sz w:val="19"/>
              </w:rPr>
              <w:t>Arize Phoenix (not used)</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631E57F7" w14:textId="77777777" w:rsidR="006F7785" w:rsidRDefault="00000000">
            <w:pPr>
              <w:spacing w:before="60" w:after="60"/>
            </w:pPr>
            <w:r>
              <w:rPr>
                <w:rFonts w:ascii="Arial" w:hAnsi="Arial"/>
                <w:sz w:val="19"/>
              </w:rPr>
              <w:t>Not used — RAG evaluation covered by Langfuse LLM-as-judge. Eliminates a separate tool dependency at zero additional cost.</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1E217B92" w14:textId="77777777" w:rsidR="006F7785" w:rsidRDefault="00000000">
            <w:pPr>
              <w:spacing w:before="60" w:after="60"/>
            </w:pPr>
            <w:r>
              <w:rPr>
                <w:rFonts w:ascii="Arial" w:hAnsi="Arial"/>
                <w:sz w:val="19"/>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3E0E8D22" w14:textId="77777777" w:rsidR="006F7785" w:rsidRDefault="00000000">
            <w:pPr>
              <w:spacing w:before="60" w:after="60"/>
            </w:pPr>
            <w:r>
              <w:rPr>
                <w:rFonts w:ascii="Arial" w:hAnsi="Arial"/>
                <w:sz w:val="19"/>
              </w:rPr>
            </w:r>
            <w:r>
              <w:rPr>
                <w:rFonts w:ascii="Arial" w:hAnsi="Arial"/>
                <w:b w:val="0"/>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F492E90" w14:textId="77777777" w:rsidR="006F7785" w:rsidRDefault="00000000">
            <w:pPr>
              <w:spacing w:before="60" w:after="60"/>
            </w:pPr>
            <w:r>
              <w:rPr>
                <w:rFonts w:ascii="Arial" w:hAnsi="Arial"/>
                <w:sz w:val="19"/>
              </w:rPr>
            </w:r>
            <w:r>
              <w:rPr>
                <w:rFonts w:ascii="Arial" w:hAnsi="Arial"/>
                <w:b w:val="0"/>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58C22A7" w14:textId="77777777" w:rsidR="006F7785" w:rsidRDefault="00000000">
            <w:pPr>
              <w:spacing w:before="60" w:after="60"/>
            </w:pPr>
            <w:r>
              <w:rPr>
                <w:rFonts w:ascii="Arial" w:hAnsi="Arial"/>
                <w:sz w:val="19"/>
              </w:rPr>
            </w:r>
            <w:r>
              <w:rPr>
                <w:rFonts w:ascii="Arial" w:hAnsi="Arial"/>
                <w:b w:val="0"/>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77"/>
        <w:gridCol w:w="5124"/>
        <w:gridCol w:w="223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lastRenderedPageBreak/>
              <w:t>mini)</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lastRenderedPageBreak/>
              <w:t xml:space="preserve">3,000 sessions × 12 turns × (500 input + 300 output </w:t>
              <w:lastRenderedPageBreak/>
              <w:t>tokens).</w:t>
              <w:br/>
              <w:t>Input: 18M tokens × $0.00015/1K = $2.70. Output: 10.8M × $0.0006/1K = $6.48.</w:t>
              <w:br/>
              <w:t>Total: $9.18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lastRenderedPageBreak/>
              <w:t>₹879/month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F1D7D6"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2E881D" w14:textId="77777777" w:rsidR="006F7785" w:rsidRDefault="00000000">
            <w:pPr>
              <w:spacing w:before="20" w:after="20"/>
            </w:pPr>
            <w:r>
              <w:rPr>
                <w:rFonts w:ascii="Arial" w:hAnsi="Arial"/>
                <w:sz w:val="18"/>
              </w:rPr>
              <w:t>LangSmith — Developer plan (not used)</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92888D6" w14:textId="77777777" w:rsidR="006F7785" w:rsidRDefault="00000000">
            <w:pPr>
              <w:spacing w:before="60" w:after="60"/>
            </w:pPr>
            <w:r>
              <w:rPr>
                <w:rFonts w:ascii="Arial" w:hAnsi="Arial"/>
                <w:sz w:val="19"/>
              </w:rPr>
              <w:t>Not used. Cloud-only model is architecturally unsuitable for banking data residency. Replaced by Langfuse self-hosted (co-hosted on VM, zero additional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31684D0" w14:textId="77777777" w:rsidR="006F7785" w:rsidRDefault="00000000">
            <w:pPr>
              <w:spacing w:before="60" w:after="60"/>
            </w:pPr>
            <w:r>
              <w:rPr>
                <w:rFonts w:ascii="Arial" w:hAnsi="Arial"/>
                <w:sz w:val="19"/>
              </w:rPr>
              <w:t>₹0</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1030B0F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5946759" w14:textId="77777777" w:rsidR="006F7785" w:rsidRDefault="00000000">
            <w:pPr>
              <w:spacing w:before="20" w:after="20"/>
            </w:pPr>
            <w:r>
              <w:rPr>
                <w:rFonts w:ascii="Arial" w:hAnsi="Arial"/>
                <w:sz w:val="18"/>
              </w:rPr>
              <w:t>Arize Phoenix (not used)</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94DADFA" w14:textId="77777777" w:rsidR="006F7785" w:rsidRDefault="00000000">
            <w:pPr>
              <w:spacing w:before="20" w:after="20"/>
            </w:pPr>
            <w:r>
              <w:rPr>
                <w:rFonts w:ascii="Arial" w:hAnsi="Arial"/>
                <w:sz w:val="18"/>
              </w:rPr>
              <w:t>Not used — Langfuse LLM-as-judge covers RAG evaluation. No additional tool or VM resource required.</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183832"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4 hrs/month: policy document updates, monitoring review, bug fixes. 4 × ₹3,000</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₹12,000/month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4 hrs/month: runs Langfuse evaluation datasets (RAG + tool + safety sets), reviews LLM-as-judge RAG scores in Langfuse dashboard, validates escalation summaries, signs off on evaluation report each sprint. 4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₹6,000/month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6–8 hrs/month: monitors Langfuse dashboard (traces, escalation rate, cost per session), responds to incidents, ensures uptime, escalates infra issues, reviews PII masking logs. Separate from maintenance dev (no code changes). 8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₹8,000/month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12863CF8" w14:textId="77777777" w:rsidR="006F7785" w:rsidRDefault="00000000">
            <w:pPr>
              <w:spacing w:before="60" w:after="60"/>
            </w:pPr>
            <w:r>
              <w:rPr>
                <w:rFonts w:ascii="Arial" w:hAnsi="Arial"/>
                <w:sz w:val="19"/>
              </w:rPr>
            </w:r>
            <w:r>
              <w:rPr>
                <w:rFonts w:ascii="Arial" w:hAnsi="Arial"/>
                <w:b w:val="0"/>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2DDAB38" w14:textId="77777777" w:rsidR="006F7785" w:rsidRDefault="00000000">
            <w:pPr>
              <w:spacing w:before="60" w:after="60"/>
            </w:pPr>
            <w:r>
              <w:rPr>
                <w:rFonts w:ascii="Arial" w:hAnsi="Arial"/>
                <w:sz w:val="19"/>
              </w:rPr>
            </w:r>
            <w:r>
              <w:rPr>
                <w:rFonts w:ascii="Arial" w:hAnsi="Arial"/>
                <w:b w:val="0"/>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CFE54DE" w14:textId="77777777" w:rsidR="006F7785" w:rsidRDefault="00000000">
            <w:pPr>
              <w:spacing w:before="60" w:after="60"/>
            </w:pPr>
            <w:r>
              <w:rPr>
                <w:rFonts w:ascii="Arial" w:hAnsi="Arial"/>
                <w:sz w:val="19"/>
              </w:rPr>
            </w:r>
            <w:r>
              <w:rPr>
                <w:rFonts w:ascii="Arial" w:hAnsi="Arial"/>
                <w:b w:val="0"/>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r>
            <w:r>
              <w:rPr>
                <w:rFonts w:ascii="Arial" w:hAnsi="Arial"/>
                <w:b w:val="0"/>
                <w:sz w:val="19"/>
              </w:rPr>
              <w:t>15% buffer on all variable costs. ₹38,061 × 15% (reflects removal of ₹3,733 LangSmith subscription)</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r>
            <w:r>
              <w:rPr>
                <w:rFonts w:ascii="Arial" w:hAnsi="Arial"/>
                <w:b w:val="0"/>
                <w:sz w:val="19"/>
              </w:rPr>
              <w:t>₹5,709/month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₹43,770/month</w:t>
            </w:r>
          </w:p>
        </w:tc>
      </w:tr>
    </w:tbl>
    <w:p w14:paraId="2553878F" w14:textId="77777777" w:rsidR="006F7785" w:rsidRDefault="00000000">
      <w:pPr>
        <w:spacing w:before="40" w:after="40"/>
      </w:pPr>
      <w:r>
        <w:rPr>
          <w:rFonts w:ascii="Arial" w:hAnsi="Arial"/>
          <w:i/>
          <w:color w:val="595959"/>
          <w:sz w:val="17"/>
        </w:rPr>
        <w:t>Note: Maintenance developer time (₹12,000) is the largest recurring cost (27% of monthly total). Removal of LangSmith cloud subscription (₹3,733/month) saves ₹44,796/year and moves all observability on-premises. LLM API cost at this scale is under ₹900/month. Maintenance cost decreases as the system matures and fewer policy updates are needed.</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57"/>
        <w:gridCol w:w="4994"/>
        <w:gridCol w:w="2081"/>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r>
            <w:r>
              <w:rPr>
                <w:rFonts w:ascii="Arial" w:hAnsi="Arial"/>
                <w:b w:val="0"/>
                <w:sz w:val="19"/>
              </w:rPr>
              <w:t>AI system: ₹43,770 (LLM ₹879 + VM ₹1,607 + Langfuse ₹0 + Dev ₹12,000 + QA ₹6,000 + Support ₹8,000 + Claude Max ₹9,572 + Contingency ₹5,709)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r>
            <w:r>
              <w:rPr>
                <w:rFonts w:ascii="Arial" w:hAnsi="Arial"/>
                <w:b w:val="0"/>
                <w:sz w:val="19"/>
              </w:rPr>
              <w:t>₹1,43,220</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lastRenderedPageBreak/>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r>
            <w:r>
              <w:rPr>
                <w:rFonts w:ascii="Arial" w:hAnsi="Arial"/>
                <w:b w:val="0"/>
                <w:sz w:val="19"/>
              </w:rPr>
              <w:t>₹6,21,563 − ₹1,43,220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r>
            <w:r>
              <w:rPr>
                <w:rFonts w:ascii="Arial" w:hAnsi="Arial"/>
                <w:b w:val="0"/>
                <w:sz w:val="19"/>
              </w:rPr>
              <w:t>₹4,78,343</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r>
            <w:r>
              <w:rPr>
                <w:rFonts w:ascii="Arial" w:hAnsi="Arial"/>
                <w:b w:val="0"/>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r>
            <w:r>
              <w:rPr>
                <w:rFonts w:ascii="Arial" w:hAnsi="Arial"/>
                <w:b w:val="0"/>
                <w:sz w:val="19"/>
              </w:rPr>
              <w:t>₹2,41,805 ÷ ₹4,38,563/month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~17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r>
            <w:r>
              <w:rPr>
                <w:rFonts w:ascii="Arial" w:hAnsi="Arial"/>
                <w:b w:val="0"/>
                <w:sz w:val="19"/>
              </w:rPr>
              <w:t>Months 1–3 (30% AI resolution): 3 × ₹4,38,563</w:t>
              <w:br/>
              <w:t>Months 4–12 (50% AI resolution): 9 × ₹4,78,343</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r>
            <w:r>
              <w:rPr>
                <w:rFonts w:ascii="Arial" w:hAnsi="Arial"/>
                <w:b w:val="0"/>
                <w:sz w:val="19"/>
              </w:rPr>
              <w:t>₹56,20,776</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r>
            <w:r>
              <w:rPr>
                <w:rFonts w:ascii="Arial" w:hAnsi="Arial"/>
                <w:b w:val="0"/>
                <w:sz w:val="19"/>
              </w:rPr>
              <w:t>(₹56,20,776 −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2,225%</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to achieve. (3) Ramp-up: 30% resolution in months 1–3 (onboarding phase), reaching 50% from month 4. Even under these conservative assumptions, payback is ~17 days and 12-month ROI is 2,225% — a compelling business case without overstating it.</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pPr>
              <w:spacing w:before="20" w:after="20"/>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 xml:space="preserve">Knowledge Base </w:t>
              <w:lastRenderedPageBreak/>
              <w:t>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lastRenderedPageBreak/>
              <w:t xml:space="preserve">RBI changes repo rate or a </w:t>
              <w:lastRenderedPageBreak/>
              <w:t>bank revises eligibility criteria. Agent confidently quotes outdated information for weeks. Creates regulatory risk 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 xml:space="preserve">Every policy doc has 'Last Updated' date in line 1. </w:t>
              <w:lastRenderedPageBreak/>
              <w:t>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lastRenderedPageBreak/>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xml:space="preserve">• Safety Refusal Rate 100% → Langfuse safety evaluation dataset, 5 out-of-scope </w:t>
              <w:lastRenderedPageBreak/>
              <w:t>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RM Summary Quality ≥ 4/5 → Langfuse human annotation on 3 generated escalation 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516"/>
    <w:rsid w:val="0029639D"/>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14</Pages>
  <Words>5574</Words>
  <Characters>31775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24</cp:revision>
  <dcterms:created xsi:type="dcterms:W3CDTF">2013-12-23T23:15:00Z</dcterms:created>
  <dcterms:modified xsi:type="dcterms:W3CDTF">2026-06-09T16:03:00Z</dcterms:modified>
  <cp:category/>
</cp:coreProperties>
</file>