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</w:pPr>
      <w:r>
        <w:rPr>
          <w:rFonts w:ascii="Arial" w:hAnsi="Arial"/>
          <w:b/>
          <w:i w:val="0"/>
          <w:color w:val="1F3864"/>
          <w:sz w:val="30"/>
        </w:rPr>
        <w:t>AI-Powered Loan Origination Copilot</w:t>
      </w:r>
    </w:p>
    <w:p>
      <w:pPr>
        <w:spacing w:before="0" w:after="60"/>
        <w:jc w:val="center"/>
      </w:pPr>
      <w:r>
        <w:rPr>
          <w:rFonts w:ascii="Arial" w:hAnsi="Arial"/>
          <w:b/>
          <w:i w:val="0"/>
          <w:color w:val="2E6EA6"/>
          <w:sz w:val="24"/>
        </w:rPr>
        <w:t>System Architecture — Complete Stack</w:t>
      </w:r>
    </w:p>
    <w:p>
      <w:pPr>
        <w:spacing w:before="0" w:after="160"/>
        <w:jc w:val="center"/>
      </w:pPr>
      <w:r>
        <w:rPr>
          <w:rFonts w:ascii="Arial" w:hAnsi="Arial"/>
          <w:b w:val="0"/>
          <w:i/>
          <w:color w:val="606060"/>
          <w:sz w:val="17"/>
        </w:rPr>
        <w:t>IIT Madras Capstone  |  Scenario 2: Banking  |  Track A: LangChain  |  June 2026</w:t>
      </w:r>
    </w:p>
    <w:tbl>
      <w:tblPr>
        <w:tblLook w:firstColumn="1" w:firstRow="1" w:lastColumn="0" w:lastRow="0" w:noHBand="0" w:noVBand="1" w:val="04A0"/>
        <w:tblStyle w:val="TableGrid"/>
        <w:tblW w:w="10800" w:type="dxa"/>
      </w:tblPr>
      <w:tblGrid>
        <w:gridCol w:w="5400"/>
        <w:gridCol w:w="5400"/>
      </w:tblGrid>
      <w:tr>
        <w:tc>
          <w:tcPr>
            <w:tcW w:w="10800" w:type="dxa"/>
            <w:gridSpan w:val="2"/>
            <w:shd w:val="clear" w:color="auto" w:fill="1F4E79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①  PRESENTATION LAYER  —  User Interface</w:t>
            </w:r>
          </w:p>
        </w:tc>
      </w:tr>
      <w:tr>
        <w:tc>
          <w:tcPr>
            <w:tcW w:w="5400" w:type="dxa"/>
            <w:shd w:val="clear" w:color="auto" w:fill="2E6099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CLI Interface  (Phases 2–7)</w:t>
            </w:r>
          </w:p>
        </w:tc>
        <w:tc>
          <w:tcPr>
            <w:tcW w:w="5400" w:type="dxa"/>
            <w:shd w:val="clear" w:color="auto" w:fill="2E6099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Streamlit Web App  (Phase 8+)</w:t>
            </w:r>
          </w:p>
        </w:tc>
      </w:tr>
      <w:tr>
        <w:tc>
          <w:tcPr>
            <w:tcW w:w="5400" w:type="dxa"/>
            <w:shd w:val="clear" w:color="auto" w:fill="D9E9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F4E79"/>
                <w:sz w:val="17"/>
              </w:rPr>
              <w:t>Terminal-based interaction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All 9 capstone phases demonstrable via CLI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Phase 2: regex/keyword intent  ·  Phase 3+: LLM-backed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Structured JSON session logs + escalation audit trail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Primary development interface throughout build</w:t>
            </w:r>
          </w:p>
        </w:tc>
        <w:tc>
          <w:tcPr>
            <w:tcW w:w="5400" w:type="dxa"/>
            <w:shd w:val="clear" w:color="auto" w:fill="D9E9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F4E79"/>
                <w:sz w:val="17"/>
              </w:rPr>
              <w:t>Two-tab Streamlit web interface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Customer Chat tab — full multi-turn advisory conversation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Dashboard tab — escalation review queue + annotation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views structured brief before first customer call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escalation quality scored 1–5 via Langfuse annotation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User input routed through Safety Gate</w:t>
            </w:r>
          </w:p>
        </w:tc>
      </w:tr>
      <w:tr>
        <w:tc>
          <w:tcPr>
            <w:tcW w:w="10800" w:type="dxa"/>
            <w:gridSpan w:val="2"/>
            <w:shd w:val="clear" w:color="auto" w:fill="C00000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②  SAFETY GATE  —  Two-Stage Input Filtering  (Before Main-Agent LLM)</w:t>
            </w:r>
          </w:p>
        </w:tc>
      </w:tr>
      <w:tr>
        <w:tc>
          <w:tcPr>
            <w:tcW w:w="5400" w:type="dxa"/>
            <w:shd w:val="clear" w:color="auto" w:fill="A5000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 A:  Keyword Pre-filter  (fast-path)</w:t>
            </w:r>
          </w:p>
        </w:tc>
        <w:tc>
          <w:tcPr>
            <w:tcW w:w="5400" w:type="dxa"/>
            <w:shd w:val="clear" w:color="auto" w:fill="A5000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 B:  LLM Intent Classifier  (primary)</w:t>
            </w:r>
          </w:p>
        </w:tc>
      </w:tr>
      <w:tr>
        <w:tc>
          <w:tcPr>
            <w:tcW w:w="5400" w:type="dxa"/>
            <w:shd w:val="clear" w:color="auto" w:fill="FDEBEB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800000"/>
                <w:sz w:val="17"/>
              </w:rPr>
              <w:t>Runs first — zero LLM cost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Regex / keyword match on obvious harmful patterns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Blocks: approval demands  ·  money transfer  ·  legal advice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Blocks: prompt injection (“ignore previous instructions”)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Match → instant canned hard refusal; attempt logged</w:t>
            </w:r>
          </w:p>
        </w:tc>
        <w:tc>
          <w:tcPr>
            <w:tcW w:w="5400" w:type="dxa"/>
            <w:shd w:val="clear" w:color="auto" w:fill="FDEBEB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800000"/>
                <w:sz w:val="17"/>
              </w:rPr>
              <w:t>GPT-4o-mini  ·  &lt; 50 input tokens  ·  ~100ms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Classifies: IN_SCOPE  /  OUT_OF_SCOPE  /  AMBIGUOUS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IN_SCOPE → proceeds to Orchestration Layer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OUT_OF_SCOPE → hard refusal; main-agent LLM not invoked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AMBIGUOUS → targeted clarification prompt returned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IN_SCOPE inputs enter Orchestration Layer</w:t>
            </w:r>
          </w:p>
        </w:tc>
      </w:tr>
      <w:tr>
        <w:tc>
          <w:tcPr>
            <w:tcW w:w="10800" w:type="dxa"/>
            <w:gridSpan w:val="2"/>
            <w:shd w:val="clear" w:color="auto" w:fill="7030A0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③  ORCHESTRATION  —  LangChain AgentExecutor  (ReAct Pattern)</w:t>
            </w:r>
          </w:p>
        </w:tc>
      </w:tr>
      <w:tr>
        <w:tc>
          <w:tcPr>
            <w:tcW w:w="10800" w:type="dxa"/>
            <w:gridSpan w:val="2"/>
            <w:shd w:val="clear" w:color="auto" w:fill="ECE4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4A0080"/>
                <w:sz w:val="17"/>
              </w:rPr>
              <w:t>11-Step Conversational Workflow: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A0080"/>
                <w:sz w:val="17"/>
              </w:rPr>
              <w:t>①  Session Init  →  ②  Intent Classify  →  ③  Safety Gate  →  ④  Profile Collection  →  ⑤  RAG Retrieval  →  ⑥  Tool Invocation</w:t>
            </w:r>
          </w:p>
          <w:p>
            <w:pPr>
              <w:spacing w:before="0" w:after="80"/>
            </w:pPr>
            <w:r>
              <w:rPr>
                <w:rFonts w:ascii="Arial" w:hAnsi="Arial"/>
                <w:b w:val="0"/>
                <w:i w:val="0"/>
                <w:color w:val="4A0080"/>
                <w:sz w:val="17"/>
              </w:rPr>
              <w:t>→  ⑦  Response Synthesis  →  ⑧  Risk &amp; Confidence Check  →  ⑨a  Escalation Path  /  ⑨b  Continuation Path  →  ⑩a  RM Dashboard  /  ⑩b  Session Log  →  ⑪  RM Reviews &amp; Acts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6A00A0"/>
                <w:sz w:val="16"/>
              </w:rPr>
              <w:t>ReAct pattern: LLM states tool-selection reasoning before each invocation — every decision traceable in Langfuse.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Orchestrator dispatches to LLM Engine, Retrieval, and Tools</w:t>
            </w:r>
          </w:p>
        </w:tc>
      </w:tr>
      <w:tr>
        <w:tc>
          <w:tcPr>
            <w:tcW w:w="5400" w:type="dxa"/>
            <w:shd w:val="clear" w:color="auto" w:fill="0070C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④  LLM ENGINE  —  OpenAI GPT-4o</w:t>
            </w:r>
          </w:p>
        </w:tc>
        <w:tc>
          <w:tcPr>
            <w:tcW w:w="5400" w:type="dxa"/>
            <w:shd w:val="clear" w:color="auto" w:fill="37562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⑤  SESSION MEMORY  —  Multi-Layer State</w:t>
            </w:r>
          </w:p>
        </w:tc>
      </w:tr>
      <w:tr>
        <w:tc>
          <w:tcPr>
            <w:tcW w:w="5400" w:type="dxa"/>
            <w:shd w:val="clear" w:color="auto" w:fill="DDEEF9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0D3A6E"/>
                <w:sz w:val="17"/>
              </w:rPr>
              <w:t>Language model — response synthesis &amp; tool reasoning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GPT-4o: strong reasoning &amp; tool-call accuracy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All calls auto-traced via Langfuse CallbackHandler (~10 lines)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LLM synthesises plain-language text around tool outputs only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LLM cannot generate financial figures — all numbers from tools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Mandatory disclaimers enforced in system prompt (Variant 3)</w:t>
            </w:r>
          </w:p>
        </w:tc>
        <w:tc>
          <w:tcPr>
            <w:tcW w:w="5400" w:type="dxa"/>
            <w:shd w:val="clear" w:color="auto" w:fill="EAF4E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2A4A1A"/>
                <w:sz w:val="17"/>
              </w:rPr>
              <w:t>Three-tier memory architecture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ConversationBufferWindowMemory — last 10 dialogue turns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Session State Dict — profile fields, journey stage, risk band, flags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Feedback Store — session_feedback.json (never auto-deleted)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Escalation Log — escalations.json (surfaced in RM Dashboard)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Reset on session end; feedback + escalation logs persist across sessions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Retrieval and tools invoked deterministically</w:t>
            </w:r>
          </w:p>
        </w:tc>
      </w:tr>
      <w:tr>
        <w:tc>
          <w:tcPr>
            <w:tcW w:w="5400" w:type="dxa"/>
            <w:shd w:val="clear" w:color="auto" w:fill="BF6A1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⑥  RAG RETRIEVAL  —  ChromaDB Vector Store</w:t>
            </w:r>
          </w:p>
        </w:tc>
        <w:tc>
          <w:tcPr>
            <w:tcW w:w="5400" w:type="dxa"/>
            <w:shd w:val="clear" w:color="auto" w:fill="7B340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⑦  DETERMINISTIC TOOLS  —  5 LangChain Functions</w:t>
            </w:r>
          </w:p>
        </w:tc>
      </w:tr>
      <w:tr>
        <w:tc>
          <w:tcPr>
            <w:tcW w:w="5400" w:type="dxa"/>
            <w:shd w:val="clear" w:color="auto" w:fill="FEF0E4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7A3500"/>
                <w:sz w:val="17"/>
              </w:rPr>
              <w:t>Semantic retrieval from policy knowledge base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Vector store: ChromaDB  (local · prototype  /  VM · production)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Embeddings: OpenAI text-embedding-3-small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chunk_size = 500 tokens  ·  overlap = 100 tokens  ·  top_k = 3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Below threshold → uncertainty stated; never uses LLM general knowledge</w:t>
            </w:r>
          </w:p>
        </w:tc>
        <w:tc>
          <w:tcPr>
            <w:tcW w:w="5400" w:type="dxa"/>
            <w:shd w:val="clear" w:color="auto" w:fill="FDDEC7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5C2800"/>
                <w:sz w:val="17"/>
              </w:rPr>
              <w:t>All numeric outputs from tools — LLM cannot generate figures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calculate_emi — EMI formula, called ×2 (lower + upper rate bound)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check_eligibility — FOIR · LTI · employment haircut · ceiling check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get_document_checklist — deterministic 4×3 product/employment table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query_loan_policy — RAG-backed policy FAQ via ChromaDB (rates · fees · tenure · NRI · prepayment · CIBIL criteria)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generate_escalation_summary — utility; direct call only, not by LLM</w:t>
            </w:r>
          </w:p>
          <w:p>
            <w:pPr>
              <w:spacing w:before="3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6"/>
              </w:rPr>
              <w:t>▸  All 5 tools also exposed via MCP (loan_mcp/server.py · FastMCP v1.27 · USE_MCP=true · stdio &amp; HTTP transport)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Data sources and persistence layer</w:t>
            </w:r>
          </w:p>
        </w:tc>
      </w:tr>
      <w:tr>
        <w:tc>
          <w:tcPr>
            <w:tcW w:w="5400" w:type="dxa"/>
            <w:shd w:val="clear" w:color="auto" w:fill="4E7E2C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⑧  KNOWLEDGE BASE  —  5 Policy Documents</w:t>
            </w:r>
          </w:p>
        </w:tc>
        <w:tc>
          <w:tcPr>
            <w:tcW w:w="5400" w:type="dxa"/>
            <w:shd w:val="clear" w:color="auto" w:fill="2F5496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⑨  STRUCTURED STORAGE  —  JSON Audit Trail</w:t>
            </w:r>
          </w:p>
        </w:tc>
      </w:tr>
      <w:tr>
        <w:tc>
          <w:tcPr>
            <w:tcW w:w="5400" w:type="dxa"/>
            <w:shd w:val="clear" w:color="auto" w:fill="E8F4DC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2E5219"/>
                <w:sz w:val="17"/>
              </w:rPr>
              <w:t>Synthetic docs grounded in SBI / HDFC / RBI guidelines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home_loan_policy.txt — LTV slabs · eligibility · rate bands · docs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personal_loan_policy.txt — rate range 9.99–24% · FOIR · tenure 1–5yr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msme_loan_policy.txt — Udyam · MUDRA/CGTMSE · DSCR · GST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car_loan_policy.txt — LTV 85% · 8.75–10.50% · hypothecation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general_faq.txt — 20 Q&amp;As on CIBIL · FOIR · EBLR · NACH</w:t>
            </w:r>
          </w:p>
        </w:tc>
        <w:tc>
          <w:tcPr>
            <w:tcW w:w="5400" w:type="dxa"/>
            <w:shd w:val="clear" w:color="auto" w:fill="DAE4F4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3060"/>
                <w:sz w:val="17"/>
              </w:rPr>
              <w:t>PII masked before every write  (Aadhaar · PAN · mobile · email)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session_log.json — timestamp · intent · tool calls · chunk IDs · LLM output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session_feedback.json — rating · comment · loan_type · journey stage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escalations.json — full RM brief; never auto-deleted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Retention: 90 days prototype  /  7 years production (RBI guideline)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Production: logs → AWS S3 (~50 MB/month · ₹2/month)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All activity observable in Langfuse self-hosted</w:t>
            </w:r>
          </w:p>
        </w:tc>
      </w:tr>
      <w:tr>
        <w:tc>
          <w:tcPr>
            <w:tcW w:w="10800" w:type="dxa"/>
            <w:gridSpan w:val="2"/>
            <w:shd w:val="clear" w:color="auto" w:fill="1F3864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⑩  OBSERVABILITY  —  Langfuse Self-Hosted  (Docker Compose · On-Premises · Zero Marginal Cost)</w:t>
            </w:r>
          </w:p>
        </w:tc>
      </w:tr>
      <w:tr>
        <w:tc>
          <w:tcPr>
            <w:tcW w:w="5400" w:type="dxa"/>
            <w:shd w:val="clear" w:color="auto" w:fill="2B4A7A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Tracing  ·  Cost Tracking  ·  Dataset Evaluation</w:t>
            </w:r>
          </w:p>
        </w:tc>
        <w:tc>
          <w:tcPr>
            <w:tcW w:w="5400" w:type="dxa"/>
            <w:shd w:val="clear" w:color="auto" w:fill="2B4A7A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Session Scoring  ·  RAG Quality  ·  Human Annotation</w:t>
            </w:r>
          </w:p>
        </w:tc>
      </w:tr>
      <w:tr>
        <w:tc>
          <w:tcPr>
            <w:tcW w:w="5400" w:type="dxa"/>
            <w:shd w:val="clear" w:color="auto" w:fill="D5DCF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2C5B"/>
                <w:sz w:val="17"/>
              </w:rPr>
              <w:t>Auto-tracing via CallbackHandler — zero code change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Every call traced: LLM I/O · tool calls · chunks · latency · cost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Dataset Eval: 20Q RAG + 30-scenario tools + 5-prompt safety set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Prompt comparison V1/V2/V3 × 5 questions → exported table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Cost per session auto-computed → validates ROI assumptions live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A5A8A"/>
                <w:sz w:val="15"/>
              </w:rPr>
              <w:t>LangSmith excluded (cloud-only, banking PII risk)  ·  Arize Phoenix excluded (RAG eval covered by Langfuse LLM-as-judge)</w:t>
            </w:r>
          </w:p>
        </w:tc>
        <w:tc>
          <w:tcPr>
            <w:tcW w:w="5400" w:type="dxa"/>
            <w:shd w:val="clear" w:color="auto" w:fill="D5DCF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2C5B"/>
                <w:sz w:val="17"/>
              </w:rPr>
              <w:t>Self-hosted — all trace data on-premises  (banking PII compliance)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Session grouping: full multi-turn conversation in single view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LLM-as-judge RAG: auto-flags responses with ungrounded numeric figures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Human annotation: RM escalation summaries rated 1–5 for quality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Escalation rate dashboard: 15–35% target band · alert if outside range</w:t>
            </w:r>
          </w:p>
        </w:tc>
      </w:tr>
    </w:tbl>
    <w:p>
      <w:pPr>
        <w:spacing w:before="80" w:after="60"/>
        <w:jc w:val="center"/>
        <w:pageBreakBefore w:val="1"/>
      </w:pPr>
      <w:r>
        <w:rPr>
          <w:rFonts w:ascii="Arial" w:hAnsi="Arial"/>
          <w:b/>
          <w:i w:val="0"/>
          <w:color w:val="1F3864"/>
          <w:sz w:val="26"/>
        </w:rPr>
        <w:t>Prototype vs Production  —  Deployment Architecture</w:t>
      </w:r>
    </w:p>
    <w:p>
      <w:pPr>
        <w:spacing w:before="0" w:after="160"/>
        <w:jc w:val="center"/>
      </w:pPr>
      <w:r>
        <w:rPr>
          <w:rFonts w:ascii="Arial" w:hAnsi="Arial"/>
          <w:b w:val="0"/>
          <w:i/>
          <w:color w:val="606060"/>
          <w:sz w:val="17"/>
        </w:rPr>
        <w:t>Component-by-component comparison: 10-day local build vs production on AWS</w:t>
      </w:r>
    </w:p>
    <w:tbl>
      <w:tblPr>
        <w:tblLook w:firstColumn="1" w:firstRow="1" w:lastColumn="0" w:lastRow="0" w:noHBand="0" w:noVBand="1" w:val="04A0"/>
        <w:tblStyle w:val="TableGrid"/>
        <w:tblW w:w="10800" w:type="dxa"/>
      </w:tblPr>
      <w:tblGrid>
        <w:gridCol w:w="3600"/>
        <w:gridCol w:w="3600"/>
        <w:gridCol w:w="3600"/>
      </w:tblGrid>
      <w:tr>
        <w:tc>
          <w:tcPr>
            <w:tcW w:w="2200" w:type="dxa"/>
            <w:shd w:val="clear" w:color="auto" w:fill="1F3864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Component</w:t>
            </w:r>
          </w:p>
        </w:tc>
        <w:tc>
          <w:tcPr>
            <w:tcW w:w="4300" w:type="dxa"/>
            <w:shd w:val="clear" w:color="auto" w:fill="1B5E8A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Prototype  (Days 1–10  ·  Local Machine)</w:t>
            </w:r>
          </w:p>
        </w:tc>
        <w:tc>
          <w:tcPr>
            <w:tcW w:w="4300" w:type="dxa"/>
            <w:shd w:val="clear" w:color="auto" w:fill="1B4E3A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Production  (Month 1+  ·  AWS t3.small)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User Interface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CLI (Phases 2–7)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Streamlit packaged in Phase 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Streamlit (Customer Chat + RM Dashboard)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Public URL on EC2 or cloud platform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Compute / Hosting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Developer's MacBook — ₹0 incremental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No additional infrastructure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AWS t3.small — 2 vCPU, 2 GB RAM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$0.023/hr × 730 hrs = ₹1,607/month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LLM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GPT-4o (agent) · GPT-4o-mini (safety)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~500 test calls · ₹49 total API cost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GPT-4o (agent) · GPT-4o-mini (safety)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3,000 sessions × 12 turns · ₹879/month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Vector Store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ChromaDB local (file-based)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May reset on process restart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ChromaDB persistent on VM disk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Auto-persist; scheduled re-embed on change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Knowledge Base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5 policy .txt files, embedded manually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Re-run embedding script on any change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5 docs on VM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Automated re-embedding pipeline on change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Orchestration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LangChain AgentExecutor (ReAct)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Phases 2–9 (identical code)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LangChain AgentExecutor (ReAct)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Identical implementation — zero code delta</w:t>
            </w:r>
          </w:p>
        </w:tc>
      </w:tr>
      <w:tr>
        <w:tc>
          <w:tcPr>
            <w:tcW w:w="2200" w:type="dxa"/>
            <w:shd w:val="clear" w:color="auto" w:fill="F3EEF9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7"/>
              </w:rPr>
              <w:t>Tool Transport (MCP)</w:t>
            </w:r>
          </w:p>
        </w:tc>
        <w:tc>
          <w:tcPr>
            <w:tcW w:w="4300" w:type="dxa"/>
            <w:shd w:val="clear" w:color="auto" w:fill="F3EEF9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7"/>
              </w:rPr>
              <w:t>FastMCP v1.27 · loan_mcp/server.py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6"/>
              </w:rPr>
              <w:t>USE_MCP=true · stdio transport (local) · Claude Desktop compatible</w:t>
            </w:r>
          </w:p>
        </w:tc>
        <w:tc>
          <w:tcPr>
            <w:tcW w:w="4300" w:type="dxa"/>
            <w:shd w:val="clear" w:color="auto" w:fill="F3EEF9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7"/>
              </w:rPr>
              <w:t>Same FastMCP server · streamable-HTTP transport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6"/>
              </w:rPr>
              <w:t>Enables external agent access · Claude Code · bank API consumers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Memory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ConversationBufferWindowMemory (in-process)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Session dict in Python runtime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memory architecture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JSON logs + feedback + escalations on VM disk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Safety Gate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Keyword pre-filter + LLM intent classifier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Active from Phase 3; identical code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Identical implementation — non-negotiable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Same patterns + same LLM classifier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PII Masking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Regex masker on all log writes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Aadhaar · PAN · mobile · email — active Phase 3+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masker — non-negotiable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+ AWS S3 server-side encryption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Observability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Langfuse self-hosted via Docker Compose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Runs on developer machine (localhost)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Langfuse self-hosted on same t3.small VM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Docker Compose · all data on-premises · ₹0 extra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Log Storage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JSON files on local disk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Manual retention until dev clears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JSON logs → AWS S3 (~50 MB/month · ₹2/month)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90-day prototype  /  7-year production (RBI)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Evaluation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Langfuse dataset runs on Day 10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Manual trigger by developer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Automated on each code push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Langfuse evaluation API + CI pipeline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Claude Code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Pro plan ($20/month)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Pro-rated 10-day build = ₹638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Max 5× plan ($100/month = ₹9,572/month)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For maintenance developer + support engineer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Monthly Cost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~₹49  (API only during prototype build)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Developer machine: ₹0 incremental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₹43,770/month total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LLM ₹879 + VM ₹1,607 + Staff ₹26,000 + Claude Max ₹9,572 + Contingency ₹5,709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Build Investment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₹2,40,687 one-time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Dev 10d ₹2,40,000 + API ₹49 + Claude Pro ₹638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N/A — ongoing from monthly budget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Build cost recovered in ~17 days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Business ROI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Proof-of-concept — not measured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Focus: system design + grading rubric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₹6.2L baseline → ₹1.4L/month post-AI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12-month ROI 2,235%  ·  Payback ~17 days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Data Residency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All data on developer machine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No external data egress during build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All data on VM + S3 (same region)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Langfuse traces on-premises · LangSmith excluded</w:t>
            </w:r>
          </w:p>
        </w:tc>
      </w:tr>
    </w:tbl>
    <w:p>
      <w:pPr>
        <w:spacing w:before="160" w:after="0"/>
      </w:pPr>
      <w:r>
        <w:rPr>
          <w:rFonts w:ascii="Arial" w:hAnsi="Arial"/>
          <w:b/>
          <w:i w:val="0"/>
          <w:color w:val="404040"/>
          <w:sz w:val="16"/>
        </w:rPr>
        <w:t xml:space="preserve">Note:  </w:t>
      </w:r>
      <w:r>
        <w:rPr>
          <w:rFonts w:ascii="Arial" w:hAnsi="Arial"/>
          <w:b w:val="0"/>
          <w:i/>
          <w:color w:val="505050"/>
          <w:sz w:val="16"/>
        </w:rPr>
        <w:t>Safety Gate (keyword pre-filter + LLM intent classifier) and PII masking are identical in prototype and production — these are non-negotiable implementation requirements. LangSmith excluded: cloud-only model incompatible with banking data residency. Arize Phoenix excluded: RAG evaluation fully covered by Langfuse LLM-as-judge on the same 20-question policy test set.</w:t>
      </w:r>
    </w:p>
    <w:sectPr w:rsidR="00FC693F" w:rsidRPr="0006063C" w:rsidSect="00034616">
      <w:pgSz w:w="12240" w:h="15840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