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/>
        <w:jc w:val="center"/>
      </w:pPr>
      <w:r>
        <w:rPr>
          <w:rFonts w:ascii="Arial" w:hAnsi="Arial"/>
          <w:b/>
          <w:i w:val="0"/>
          <w:color w:val="1F3864"/>
          <w:sz w:val="30"/>
        </w:rPr>
        <w:t>AI-Powered Loan Origination Copilot</w:t>
      </w:r>
    </w:p>
    <w:p>
      <w:pPr>
        <w:spacing w:before="0" w:after="60"/>
        <w:jc w:val="center"/>
      </w:pPr>
      <w:r>
        <w:rPr>
          <w:rFonts w:ascii="Arial" w:hAnsi="Arial"/>
          <w:b/>
          <w:i w:val="0"/>
          <w:color w:val="2E6EA6"/>
          <w:sz w:val="24"/>
        </w:rPr>
        <w:t>System Architecture — Complete Stack</w:t>
      </w:r>
    </w:p>
    <w:p>
      <w:pPr>
        <w:spacing w:before="0" w:after="160"/>
        <w:jc w:val="center"/>
      </w:pPr>
      <w:r>
        <w:rPr>
          <w:rFonts w:ascii="Arial" w:hAnsi="Arial"/>
          <w:b w:val="0"/>
          <w:i/>
          <w:color w:val="606060"/>
          <w:sz w:val="17"/>
        </w:rPr>
        <w:t>IIT Madras Capstone  |  Scenario 2: Banking  |  Track A: LangChain  |  June 2026</w:t>
      </w:r>
    </w:p>
    <w:tbl>
      <w:tblPr>
        <w:tblLook w:firstColumn="1" w:firstRow="1" w:lastColumn="0" w:lastRow="0" w:noHBand="0" w:noVBand="1" w:val="04A0"/>
        <w:tblStyle w:val="TableGrid"/>
        <w:tblW w:w="10800" w:type="dxa"/>
      </w:tblPr>
      <w:tblGrid>
        <w:gridCol w:w="5400"/>
        <w:gridCol w:w="5400"/>
      </w:tblGrid>
      <w:tr>
        <w:tc>
          <w:tcPr>
            <w:tcW w:w="10800" w:type="dxa"/>
            <w:gridSpan w:val="2"/>
            <w:shd w:val="clear" w:color="auto" w:fill="1F4E79"/>
            <w:tcBorders>
              <w:top w:val="single" w:sz="10" w:color="3A3A3A" w:space="0"/>
              <w:left w:val="single" w:sz="10" w:color="3A3A3A" w:space="0"/>
              <w:bottom w:val="single" w:sz="10" w:color="3A3A3A" w:space="0"/>
              <w:right w:val="single" w:sz="10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①  PRESENTATION LAYER  —  User Interface</w:t>
            </w:r>
          </w:p>
        </w:tc>
      </w:tr>
      <w:tr>
        <w:tc>
          <w:tcPr>
            <w:tcW w:w="5400" w:type="dxa"/>
            <w:shd w:val="clear" w:color="auto" w:fill="2E6099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CLI Interface  (Phases 2–7)</w:t>
            </w:r>
          </w:p>
        </w:tc>
        <w:tc>
          <w:tcPr>
            <w:tcW w:w="5400" w:type="dxa"/>
            <w:shd w:val="clear" w:color="auto" w:fill="2E6099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Streamlit Web App  (Phase 8+)</w:t>
            </w:r>
          </w:p>
        </w:tc>
      </w:tr>
      <w:tr>
        <w:tc>
          <w:tcPr>
            <w:tcW w:w="5400" w:type="dxa"/>
            <w:shd w:val="clear" w:color="auto" w:fill="D9E9F5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1F4E79"/>
                <w:sz w:val="17"/>
              </w:rPr>
              <w:t>Terminal-based interaction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All 9 capstone phases demonstrable via CLI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Phase 2: regex/keyword intent  ·  Phase 3+: LLM-backed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Structured JSON session logs + escalation audit trail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Primary development interface throughout build</w:t>
            </w:r>
          </w:p>
        </w:tc>
        <w:tc>
          <w:tcPr>
            <w:tcW w:w="5400" w:type="dxa"/>
            <w:shd w:val="clear" w:color="auto" w:fill="D9E9F5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1F4E79"/>
                <w:sz w:val="17"/>
              </w:rPr>
              <w:t>Two-tab Streamlit web interface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Customer Chat tab — full multi-turn advisory conversation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RM Dashboard tab — escalation review queue + annotation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RM views structured brief before first customer call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RM escalation quality scored 1–5 via Langfuse annotation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User input routed through Safety Gate</w:t>
            </w:r>
          </w:p>
        </w:tc>
      </w:tr>
      <w:tr>
        <w:tc>
          <w:tcPr>
            <w:tcW w:w="10800" w:type="dxa"/>
            <w:gridSpan w:val="2"/>
            <w:shd w:val="clear" w:color="auto" w:fill="C00000"/>
            <w:tcBorders>
              <w:top w:val="single" w:sz="10" w:color="3A3A3A" w:space="0"/>
              <w:left w:val="single" w:sz="10" w:color="3A3A3A" w:space="0"/>
              <w:bottom w:val="single" w:sz="10" w:color="3A3A3A" w:space="0"/>
              <w:right w:val="single" w:sz="10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②  SAFETY GATE  —  Two-Stage Input Filtering  (Before Main-Agent LLM)</w:t>
            </w:r>
          </w:p>
        </w:tc>
      </w:tr>
      <w:tr>
        <w:tc>
          <w:tcPr>
            <w:tcW w:w="5400" w:type="dxa"/>
            <w:shd w:val="clear" w:color="auto" w:fill="A50000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Stage A:  Keyword Pre-filter  (fast-path)</w:t>
            </w:r>
          </w:p>
        </w:tc>
        <w:tc>
          <w:tcPr>
            <w:tcW w:w="5400" w:type="dxa"/>
            <w:shd w:val="clear" w:color="auto" w:fill="A50000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Stage B:  LLM Intent Classifier  (primary)</w:t>
            </w:r>
          </w:p>
        </w:tc>
      </w:tr>
      <w:tr>
        <w:tc>
          <w:tcPr>
            <w:tcW w:w="5400" w:type="dxa"/>
            <w:shd w:val="clear" w:color="auto" w:fill="FDEBEB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800000"/>
                <w:sz w:val="17"/>
              </w:rPr>
              <w:t>Runs first — zero LLM cost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Regex / keyword match on obvious harmful patterns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Blocks: approval demands  ·  money transfer  ·  legal advice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Blocks: prompt injection (“ignore previous instructions”)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Match → instant canned hard refusal; attempt logged</w:t>
            </w:r>
          </w:p>
        </w:tc>
        <w:tc>
          <w:tcPr>
            <w:tcW w:w="5400" w:type="dxa"/>
            <w:shd w:val="clear" w:color="auto" w:fill="FDEBEB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800000"/>
                <w:sz w:val="17"/>
              </w:rPr>
              <w:t>GPT-4o-mini  ·  &lt; 50 input tokens  ·  ~100ms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Classifies: IN_SCOPE  /  OUT_OF_SCOPE  /  AMBIGUOUS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IN_SCOPE → proceeds to Orchestration Layer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OUT_OF_SCOPE → hard refusal; main-agent LLM not invoked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AMBIGUOUS → targeted clarification prompt returned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IN_SCOPE inputs enter Orchestration Layer</w:t>
            </w:r>
          </w:p>
        </w:tc>
      </w:tr>
      <w:tr>
        <w:tc>
          <w:tcPr>
            <w:tcW w:w="10800" w:type="dxa"/>
            <w:gridSpan w:val="2"/>
            <w:shd w:val="clear" w:color="auto" w:fill="7030A0"/>
            <w:tcBorders>
              <w:top w:val="single" w:sz="10" w:color="3A3A3A" w:space="0"/>
              <w:left w:val="single" w:sz="10" w:color="3A3A3A" w:space="0"/>
              <w:bottom w:val="single" w:sz="10" w:color="3A3A3A" w:space="0"/>
              <w:right w:val="single" w:sz="10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③  ORCHESTRATION  —  LangChain AgentExecutor  (ReAct Pattern)</w:t>
            </w:r>
          </w:p>
        </w:tc>
      </w:tr>
      <w:tr>
        <w:tc>
          <w:tcPr>
            <w:tcW w:w="10800" w:type="dxa"/>
            <w:gridSpan w:val="2"/>
            <w:shd w:val="clear" w:color="auto" w:fill="ECE4F5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4A0080"/>
                <w:sz w:val="17"/>
              </w:rPr>
              <w:t>11-Step Conversational Workflow:</w:t>
            </w:r>
          </w:p>
          <w:p>
            <w:pPr>
              <w:spacing w:before="0" w:after="40"/>
            </w:pPr>
            <w:r>
              <w:rPr>
                <w:rFonts w:ascii="Arial" w:hAnsi="Arial"/>
                <w:b w:val="0"/>
                <w:i w:val="0"/>
                <w:color w:val="4A0080"/>
                <w:sz w:val="17"/>
              </w:rPr>
              <w:t>①  Session Init  →  ②  Intent Classify  →  ③  Safety Gate  →  ④  Profile Collection  →  ⑤  RAG Retrieval  →  ⑥  Tool Invocation</w:t>
            </w:r>
          </w:p>
          <w:p>
            <w:pPr>
              <w:spacing w:before="0" w:after="80"/>
            </w:pPr>
            <w:r>
              <w:rPr>
                <w:rFonts w:ascii="Arial" w:hAnsi="Arial"/>
                <w:b w:val="0"/>
                <w:i w:val="0"/>
                <w:color w:val="4A0080"/>
                <w:sz w:val="17"/>
              </w:rPr>
              <w:t>→  ⑦  Response Synthesis  →  ⑧  Risk &amp; Confidence Check  →  ⑨a  Escalation Path  /  ⑨b  Continuation Path  →  ⑩a  RM Dashboard  /  ⑩b  Session Log  →  ⑪  RM Reviews &amp; Acts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6A00A0"/>
                <w:sz w:val="16"/>
              </w:rPr>
              <w:t>ReAct pattern: LLM states tool-selection reasoning before each invocation — every decision traceable in Langfuse.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Orchestrator dispatches to LLM Engine, Retrieval, and Tools</w:t>
            </w:r>
          </w:p>
        </w:tc>
      </w:tr>
      <w:tr>
        <w:tc>
          <w:tcPr>
            <w:tcW w:w="5400" w:type="dxa"/>
            <w:shd w:val="clear" w:color="auto" w:fill="0070C0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④  LLM ENGINE  —  OpenAI GPT-4o-mini</w:t>
            </w:r>
          </w:p>
        </w:tc>
        <w:tc>
          <w:tcPr>
            <w:tcW w:w="5400" w:type="dxa"/>
            <w:shd w:val="clear" w:color="auto" w:fill="375623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⑤  SESSION MEMORY  —  Multi-Layer State</w:t>
            </w:r>
          </w:p>
        </w:tc>
      </w:tr>
      <w:tr>
        <w:tc>
          <w:tcPr>
            <w:tcW w:w="5400" w:type="dxa"/>
            <w:shd w:val="clear" w:color="auto" w:fill="DDEEF9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0D3A6E"/>
                <w:sz w:val="17"/>
              </w:rPr>
              <w:t>Language model — response synthesis &amp; tool reasoning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0D3A6E"/>
                <w:sz w:val="16"/>
              </w:rPr>
              <w:t>▸  GPT-4o-mini: cost-effective, strong instruction-following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0D3A6E"/>
                <w:sz w:val="16"/>
              </w:rPr>
              <w:t>▸  All calls auto-traced via Langfuse CallbackHandler (~10 lines)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0D3A6E"/>
                <w:sz w:val="16"/>
              </w:rPr>
              <w:t>▸  LLM synthesises plain-language text around tool outputs only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0D3A6E"/>
                <w:sz w:val="16"/>
              </w:rPr>
              <w:t>▸  LLM cannot generate financial figures — all numbers from tools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0D3A6E"/>
                <w:sz w:val="16"/>
              </w:rPr>
              <w:t>▸  Mandatory disclaimers enforced in system prompt (Variant 3)</w:t>
            </w:r>
          </w:p>
        </w:tc>
        <w:tc>
          <w:tcPr>
            <w:tcW w:w="5400" w:type="dxa"/>
            <w:shd w:val="clear" w:color="auto" w:fill="EAF4E2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2A4A1A"/>
                <w:sz w:val="17"/>
              </w:rPr>
              <w:t>Three-tier memory architecture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A4A1A"/>
                <w:sz w:val="16"/>
              </w:rPr>
              <w:t>▸  ConversationBufferWindowMemory — last 10 dialogue turns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A4A1A"/>
                <w:sz w:val="16"/>
              </w:rPr>
              <w:t>▸  Session State Dict — profile fields, journey stage, risk band, flags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A4A1A"/>
                <w:sz w:val="16"/>
              </w:rPr>
              <w:t>▸  Feedback Store — session_feedback.json (never auto-deleted)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A4A1A"/>
                <w:sz w:val="16"/>
              </w:rPr>
              <w:t>▸  Escalation Log — escalations.json (surfaced in RM Dashboard)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A4A1A"/>
                <w:sz w:val="16"/>
              </w:rPr>
              <w:t>▸  Reset on session end; feedback + escalation logs persist across sessions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Retrieval and tools invoked deterministically</w:t>
            </w:r>
          </w:p>
        </w:tc>
      </w:tr>
      <w:tr>
        <w:tc>
          <w:tcPr>
            <w:tcW w:w="5400" w:type="dxa"/>
            <w:shd w:val="clear" w:color="auto" w:fill="BF6A13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⑥  RAG RETRIEVAL  —  ChromaDB Vector Store</w:t>
            </w:r>
          </w:p>
        </w:tc>
        <w:tc>
          <w:tcPr>
            <w:tcW w:w="5400" w:type="dxa"/>
            <w:shd w:val="clear" w:color="auto" w:fill="7B3403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⑦  DETERMINISTIC TOOLS  —  5 LangChain Functions</w:t>
            </w:r>
          </w:p>
        </w:tc>
      </w:tr>
      <w:tr>
        <w:tc>
          <w:tcPr>
            <w:tcW w:w="5400" w:type="dxa"/>
            <w:shd w:val="clear" w:color="auto" w:fill="FEF0E4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7A3500"/>
                <w:sz w:val="17"/>
              </w:rPr>
              <w:t>Semantic retrieval from policy knowledge base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7A3500"/>
                <w:sz w:val="16"/>
              </w:rPr>
              <w:t>▸  Vector store: ChromaDB  (local · prototype  /  VM · production)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7A3500"/>
                <w:sz w:val="16"/>
              </w:rPr>
              <w:t>▸  Embeddings: OpenAI text-embedding-3-small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7A3500"/>
                <w:sz w:val="16"/>
              </w:rPr>
              <w:t>▸  chunk_size = 500 tokens  ·  overlap = 100 tokens  ·  top_k = 3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7A3500"/>
                <w:sz w:val="16"/>
              </w:rPr>
              <w:t>▸  Below threshold → uncertainty stated; never uses LLM general knowledge</w:t>
            </w:r>
          </w:p>
        </w:tc>
        <w:tc>
          <w:tcPr>
            <w:tcW w:w="5400" w:type="dxa"/>
            <w:shd w:val="clear" w:color="auto" w:fill="FDDEC7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5C2800"/>
                <w:sz w:val="17"/>
              </w:rPr>
              <w:t>All numeric outputs from tools — LLM cannot generate figures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5C2800"/>
                <w:sz w:val="16"/>
              </w:rPr>
              <w:t>▸  calculate_emi — EMI formula, called ×2 (lower + upper rate bound)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5C2800"/>
                <w:sz w:val="16"/>
              </w:rPr>
              <w:t>▸  check_eligibility — FOIR · LTI · employment haircut · ceiling check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5C2800"/>
                <w:sz w:val="16"/>
              </w:rPr>
              <w:t>▸  get_document_checklist — deterministic 4×3 product/employment table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5C2800"/>
                <w:sz w:val="16"/>
              </w:rPr>
              <w:t>▸  lookup_loan_status — mock pre-seeded 5-stage status store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5C2800"/>
                <w:sz w:val="16"/>
              </w:rPr>
              <w:t>▸  generate_escalation_summary — utility; direct call only, not by LLM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Data sources and persistence layer</w:t>
            </w:r>
          </w:p>
        </w:tc>
      </w:tr>
      <w:tr>
        <w:tc>
          <w:tcPr>
            <w:tcW w:w="5400" w:type="dxa"/>
            <w:shd w:val="clear" w:color="auto" w:fill="4E7E2C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⑧  KNOWLEDGE BASE  —  5 Policy Documents</w:t>
            </w:r>
          </w:p>
        </w:tc>
        <w:tc>
          <w:tcPr>
            <w:tcW w:w="5400" w:type="dxa"/>
            <w:shd w:val="clear" w:color="auto" w:fill="2F5496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⑨  STRUCTURED STORAGE  —  JSON Audit Trail</w:t>
            </w:r>
          </w:p>
        </w:tc>
      </w:tr>
      <w:tr>
        <w:tc>
          <w:tcPr>
            <w:tcW w:w="5400" w:type="dxa"/>
            <w:shd w:val="clear" w:color="auto" w:fill="E8F4DC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2E5219"/>
                <w:sz w:val="17"/>
              </w:rPr>
              <w:t>Synthetic docs grounded in SBI / HDFC / RBI guidelines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E5219"/>
                <w:sz w:val="16"/>
              </w:rPr>
              <w:t>▸  home_loan_policy.txt — LTV slabs · eligibility · rate bands · docs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E5219"/>
                <w:sz w:val="16"/>
              </w:rPr>
              <w:t>▸  personal_loan_policy.txt — rate range 9.99–24% · FOIR · tenure 1–5yr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E5219"/>
                <w:sz w:val="16"/>
              </w:rPr>
              <w:t>▸  msme_loan_policy.txt — Udyam · MUDRA/CGTMSE · DSCR · GST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E5219"/>
                <w:sz w:val="16"/>
              </w:rPr>
              <w:t>▸  car_loan_policy.txt — LTV 85% · 8.75–10.50% · hypothecation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E5219"/>
                <w:sz w:val="16"/>
              </w:rPr>
              <w:t>▸  general_faq.txt — 20 Q&amp;As on CIBIL · FOIR · EBLR · NACH</w:t>
            </w:r>
          </w:p>
        </w:tc>
        <w:tc>
          <w:tcPr>
            <w:tcW w:w="5400" w:type="dxa"/>
            <w:shd w:val="clear" w:color="auto" w:fill="DAE4F4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1A3060"/>
                <w:sz w:val="17"/>
              </w:rPr>
              <w:t>PII masked before every write  (Aadhaar · PAN · mobile · email)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3060"/>
                <w:sz w:val="16"/>
              </w:rPr>
              <w:t>▸  session_log.json — timestamp · intent · tool calls · chunk IDs · LLM output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3060"/>
                <w:sz w:val="16"/>
              </w:rPr>
              <w:t>▸  session_feedback.json — rating · comment · loan_type · journey stage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3060"/>
                <w:sz w:val="16"/>
              </w:rPr>
              <w:t>▸  escalations.json — full RM brief; never auto-deleted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3060"/>
                <w:sz w:val="16"/>
              </w:rPr>
              <w:t>▸  Retention: 90 days prototype  /  7 years production (RBI guideline)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3060"/>
                <w:sz w:val="16"/>
              </w:rPr>
              <w:t>▸  Production: logs → AWS S3 (~50 MB/month · ₹2/month)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All activity observable in Langfuse self-hosted</w:t>
            </w:r>
          </w:p>
        </w:tc>
      </w:tr>
      <w:tr>
        <w:tc>
          <w:tcPr>
            <w:tcW w:w="10800" w:type="dxa"/>
            <w:gridSpan w:val="2"/>
            <w:shd w:val="clear" w:color="auto" w:fill="1F3864"/>
            <w:tcBorders>
              <w:top w:val="single" w:sz="10" w:color="3A3A3A" w:space="0"/>
              <w:left w:val="single" w:sz="10" w:color="3A3A3A" w:space="0"/>
              <w:bottom w:val="single" w:sz="10" w:color="3A3A3A" w:space="0"/>
              <w:right w:val="single" w:sz="10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⑩  OBSERVABILITY  —  Langfuse Self-Hosted  (Docker Compose · On-Premises · Zero Marginal Cost)</w:t>
            </w:r>
          </w:p>
        </w:tc>
      </w:tr>
      <w:tr>
        <w:tc>
          <w:tcPr>
            <w:tcW w:w="5400" w:type="dxa"/>
            <w:shd w:val="clear" w:color="auto" w:fill="2B4A7A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Tracing  ·  Cost Tracking  ·  Dataset Evaluation</w:t>
            </w:r>
          </w:p>
        </w:tc>
        <w:tc>
          <w:tcPr>
            <w:tcW w:w="5400" w:type="dxa"/>
            <w:shd w:val="clear" w:color="auto" w:fill="2B4A7A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Session Scoring  ·  RAG Quality  ·  Human Annotation</w:t>
            </w:r>
          </w:p>
        </w:tc>
      </w:tr>
      <w:tr>
        <w:tc>
          <w:tcPr>
            <w:tcW w:w="5400" w:type="dxa"/>
            <w:shd w:val="clear" w:color="auto" w:fill="D5DCF2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1A2C5B"/>
                <w:sz w:val="17"/>
              </w:rPr>
              <w:t>Auto-tracing via CallbackHandler — zero code change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Every call traced: LLM I/O · tool calls · chunks · latency · cost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Dataset Eval: 20Q RAG + 30-scenario tools + 5-prompt safety set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Prompt comparison V1/V2/V3 × 5 questions → exported table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Cost per session auto-computed → validates ROI assumptions live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A5A8A"/>
                <w:sz w:val="15"/>
              </w:rPr>
              <w:t>LangSmith excluded (cloud-only, banking PII risk)  ·  Arize Phoenix excluded (RAG eval covered by Langfuse LLM-as-judge)</w:t>
            </w:r>
          </w:p>
        </w:tc>
        <w:tc>
          <w:tcPr>
            <w:tcW w:w="5400" w:type="dxa"/>
            <w:shd w:val="clear" w:color="auto" w:fill="D5DCF2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1A2C5B"/>
                <w:sz w:val="17"/>
              </w:rPr>
              <w:t>Self-hosted — all trace data on-premises  (banking PII compliance)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Session grouping: full multi-turn conversation in single view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LLM-as-judge RAG: auto-flags responses with ungrounded numeric figures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Human annotation: RM escalation summaries rated 1–5 for quality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Escalation rate dashboard: 15–35% target band · alert if outside range</w:t>
            </w:r>
          </w:p>
        </w:tc>
      </w:tr>
    </w:tbl>
    <w:p>
      <w:pPr>
        <w:spacing w:before="80" w:after="60"/>
        <w:jc w:val="center"/>
        <w:pageBreakBefore w:val="1"/>
      </w:pPr>
      <w:r>
        <w:rPr>
          <w:rFonts w:ascii="Arial" w:hAnsi="Arial"/>
          <w:b/>
          <w:i w:val="0"/>
          <w:color w:val="1F3864"/>
          <w:sz w:val="26"/>
        </w:rPr>
        <w:t>Prototype vs Production  —  Deployment Architecture</w:t>
      </w:r>
    </w:p>
    <w:p>
      <w:pPr>
        <w:spacing w:before="0" w:after="160"/>
        <w:jc w:val="center"/>
      </w:pPr>
      <w:r>
        <w:rPr>
          <w:rFonts w:ascii="Arial" w:hAnsi="Arial"/>
          <w:b w:val="0"/>
          <w:i/>
          <w:color w:val="606060"/>
          <w:sz w:val="17"/>
        </w:rPr>
        <w:t>Component-by-component comparison: 10-day local build vs production on AWS</w:t>
      </w:r>
    </w:p>
    <w:tbl>
      <w:tblPr>
        <w:tblLook w:firstColumn="1" w:firstRow="1" w:lastColumn="0" w:lastRow="0" w:noHBand="0" w:noVBand="1" w:val="04A0"/>
        <w:tblStyle w:val="TableGrid"/>
        <w:tblW w:w="10800" w:type="dxa"/>
      </w:tblPr>
      <w:tblGrid>
        <w:gridCol w:w="3600"/>
        <w:gridCol w:w="3600"/>
        <w:gridCol w:w="3600"/>
      </w:tblGrid>
      <w:tr>
        <w:tc>
          <w:tcPr>
            <w:tcW w:w="2200" w:type="dxa"/>
            <w:shd w:val="clear" w:color="auto" w:fill="1F3864"/>
            <w:tcBorders>
              <w:top w:val="single" w:sz="8" w:color="303030" w:space="0"/>
              <w:left w:val="single" w:sz="8" w:color="303030" w:space="0"/>
              <w:bottom w:val="single" w:sz="8" w:color="303030" w:space="0"/>
              <w:right w:val="single" w:sz="8" w:color="30303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Component</w:t>
            </w:r>
          </w:p>
        </w:tc>
        <w:tc>
          <w:tcPr>
            <w:tcW w:w="4300" w:type="dxa"/>
            <w:shd w:val="clear" w:color="auto" w:fill="1B5E8A"/>
            <w:tcBorders>
              <w:top w:val="single" w:sz="8" w:color="303030" w:space="0"/>
              <w:left w:val="single" w:sz="8" w:color="303030" w:space="0"/>
              <w:bottom w:val="single" w:sz="8" w:color="303030" w:space="0"/>
              <w:right w:val="single" w:sz="8" w:color="30303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Prototype  (Days 1–10  ·  Local Machine)</w:t>
            </w:r>
          </w:p>
        </w:tc>
        <w:tc>
          <w:tcPr>
            <w:tcW w:w="4300" w:type="dxa"/>
            <w:shd w:val="clear" w:color="auto" w:fill="1B4E3A"/>
            <w:tcBorders>
              <w:top w:val="single" w:sz="8" w:color="303030" w:space="0"/>
              <w:left w:val="single" w:sz="8" w:color="303030" w:space="0"/>
              <w:bottom w:val="single" w:sz="8" w:color="303030" w:space="0"/>
              <w:right w:val="single" w:sz="8" w:color="30303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Production  (Month 1+  ·  AWS t3.small)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User Interface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CLI (Phases 2–7)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Streamlit packaged in Phase 8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Streamlit (Customer Chat + RM Dashboard)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Public URL on EC2 or cloud platform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Compute / Hosting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Developer's MacBook — ₹0 incremental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No additional infrastructure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AWS t3.small — 2 vCPU, 2 GB RAM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$0.023/hr × 730 hrs = ₹1,607/month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LLM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OpenAI GPT-4o-mini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~500 test calls · ₹49 total API cost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OpenAI GPT-4o-mini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3,000 sessions × 12 turns · ₹879/month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Vector Store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ChromaDB local (file-based)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May reset on process restart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ChromaDB persistent on VM disk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Auto-persist; scheduled re-embed on change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Knowledge Base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5 policy .txt files, embedded manually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Re-run embedding script on any change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Same 5 docs on VM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Automated re-embedding pipeline on change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Orchestration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LangChain AgentExecutor (ReAct)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Phases 2–9 (identical code)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LangChain AgentExecutor (ReAct)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Identical implementation — zero code delta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Memory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ConversationBufferWindowMemory (in-process)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Session dict in Python runtime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Same memory architecture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JSON logs + feedback + escalations on VM disk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Safety Gate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Keyword pre-filter + LLM intent classifier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Active from Phase 3; identical code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Identical implementation — non-negotiable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Same patterns + same LLM classifier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PII Masking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Regex masker on all log writes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Aadhaar · PAN · mobile · email — active Phase 3+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Same masker — non-negotiable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+ AWS S3 server-side encryption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Observability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Langfuse self-hosted via Docker Compose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Runs on developer machine (localhost)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Langfuse self-hosted on same t3.small VM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Docker Compose · all data on-premises · ₹0 extra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Log Storage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JSON files on local disk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Manual retention until dev clears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JSON logs → AWS S3 (~50 MB/month · ₹2/month)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90-day prototype  /  7-year production (RBI)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Evaluation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Langfuse dataset runs on Day 10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Manual trigger by developer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Automated on each code push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Langfuse evaluation API + CI pipeline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Claude Code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Pro plan ($20/month)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Pro-rated 10-day build = ₹638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Max 5× plan ($100/month = ₹9,572/month)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For maintenance developer + support engineer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Monthly Cost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~₹49  (API only during prototype build)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Developer machine: ₹0 incremental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₹43,770/month total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LLM ₹879 + VM ₹1,607 + Staff ₹26,000 + Claude Max ₹9,572 + Contingency ₹5,709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Build Investment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₹2,40,687 one-time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Dev 10d ₹2,40,000 + API ₹49 + Claude Pro ₹638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N/A — ongoing from monthly budget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Build cost recovered in ~17 days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Business ROI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Proof-of-concept — not measured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Focus: system design + grading rubric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₹6.2L baseline → ₹1.4L/month post-AI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12-month ROI 2,235%  ·  Payback ~17 days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Data Residency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All data on developer machine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No external data egress during build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All data on VM + S3 (same region)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Langfuse traces on-premises · LangSmith excluded</w:t>
            </w:r>
          </w:p>
        </w:tc>
      </w:tr>
    </w:tbl>
    <w:p>
      <w:pPr>
        <w:spacing w:before="160" w:after="0"/>
      </w:pPr>
      <w:r>
        <w:rPr>
          <w:rFonts w:ascii="Arial" w:hAnsi="Arial"/>
          <w:b/>
          <w:i w:val="0"/>
          <w:color w:val="404040"/>
          <w:sz w:val="16"/>
        </w:rPr>
        <w:t xml:space="preserve">Note:  </w:t>
      </w:r>
      <w:r>
        <w:rPr>
          <w:rFonts w:ascii="Arial" w:hAnsi="Arial"/>
          <w:b w:val="0"/>
          <w:i/>
          <w:color w:val="505050"/>
          <w:sz w:val="16"/>
        </w:rPr>
        <w:t>Safety Gate (keyword pre-filter + LLM intent classifier) and PII masking are identical in prototype and production — these are non-negotiable implementation requirements. LangSmith excluded: cloud-only model incompatible with banking data residency. Arize Phoenix excluded: RAG evaluation fully covered by Langfuse LLM-as-judge on the same 20-question policy test set.</w:t>
      </w:r>
    </w:p>
    <w:sectPr w:rsidR="00FC693F" w:rsidRPr="0006063C" w:rsidSect="00034616">
      <w:pgSz w:w="12240" w:h="15840"/>
      <w:pgMar w:top="792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