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Arial" w:hAnsi="Arial"/>
          <w:b/>
          <w:i w:val="0"/>
          <w:color w:val="1F3864"/>
          <w:sz w:val="52"/>
        </w:rPr>
        <w:t>Submission Package Guide</w:t>
      </w:r>
    </w:p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2F5597"/>
          <w:sz w:val="30"/>
        </w:rPr>
        <w:t>AI-Powered Loan Origination Copilot</w:t>
      </w:r>
    </w:p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646464"/>
          <w:sz w:val="20"/>
        </w:rPr>
        <w:t>IIT Madras AI Capstone  ·  Scenario 2: Banking  ·  Track A: LangChain</w:t>
      </w:r>
    </w:p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3C3C3C"/>
          <w:sz w:val="22"/>
        </w:rPr>
        <w:t>Submitted by: Manoj Bansal</w:t>
      </w:r>
    </w:p>
    <w:p>
      <w:pPr>
        <w:spacing w:before="40" w:after="4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6"/>
        </w:rPr>
        <w:t>1.  How to Find Each Required Submission Item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0"/>
        </w:rPr>
        <w:t>This document maps each graded submission requirement to the exact file(s) in the zip package. The zip is named Capstone_Project_Manoj_Bansal.zip. All paths are relative to the zip root.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5"/>
        <w:gridCol w:w="2435"/>
        <w:gridCol w:w="2435"/>
        <w:gridCol w:w="2435"/>
      </w:tblGrid>
      <w:tr>
        <w:tc>
          <w:tcPr>
            <w:tcW w:type="dxa" w:w="2154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Requirement</w:t>
            </w:r>
          </w:p>
        </w:tc>
        <w:tc>
          <w:tcPr>
            <w:tcW w:type="dxa" w:w="1191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Location in Zip</w:t>
            </w:r>
          </w:p>
        </w:tc>
        <w:tc>
          <w:tcPr>
            <w:tcW w:type="dxa" w:w="2551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File(s)</w:t>
            </w:r>
          </w:p>
        </w:tc>
        <w:tc>
          <w:tcPr>
            <w:tcW w:type="dxa" w:w="3844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Notes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1. Agent Source</w:t>
              <w:br/>
              <w:t>(code + run instructions)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Root folder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agent/, tools/, retrieval/,</w:t>
              <w:br/>
              <w:t>safety/, monitoring/,</w:t>
              <w:br/>
              <w:t>policy_rlhf/, loan_mcp/,</w:t>
              <w:br/>
              <w:t>deployment/, scripts/</w:t>
              <w:br/>
              <w:t>README.md</w:t>
              <w:br/>
              <w:t>requirements.txt</w:t>
              <w:br/>
              <w:t>.env.example</w:t>
            </w:r>
          </w:p>
        </w:tc>
        <w:tc>
          <w:tcPr>
            <w:tcW w:type="dxa" w:w="384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README.md has step-by-step Quick Start (clone → venv → install → configure → ingest → run). USE_MCP=true works by default; the agent auto-detects whether the mcp package is installed and silently falls back to direct tool imports if not.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2. Problem Framing Document</w:t>
              <w:br/>
              <w:t>(1–2 pages)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docs/problem_framing.md</w:t>
            </w:r>
          </w:p>
        </w:tc>
        <w:tc>
          <w:tcPr>
            <w:tcW w:type="dxa" w:w="384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Covers problem context, target users, success criteria, and scope boundaries for the loan origination copilot.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3. Demo Script</w:t>
              <w:br/>
              <w:t>(3–5 interactions)</w:t>
              <w:br/>
              <w:t>+ Evidence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 + logs/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docs/demo_script.md</w:t>
              <w:br/>
              <w:t>logs/interactions.log</w:t>
            </w:r>
          </w:p>
        </w:tc>
        <w:tc>
          <w:tcPr>
            <w:tcW w:type="dxa" w:w="384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demo_script.md contains 5 scripted conversation scenarios with expected agent behaviour. interactions.log provides PII-masked evidence of 57 real turns across multiple live sessions.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4. Prompt Comparison Table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docs/prompt_comparison_table.md</w:t>
            </w:r>
          </w:p>
        </w:tc>
        <w:tc>
          <w:tcPr>
            <w:tcW w:type="dxa" w:w="384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Compares 3 system prompt variants (V1 basic / V2 structured / V3 adaptive) on the same test set with qualitative and quantitative insights. V3 is the production prompt.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5. Evaluation Report</w:t>
              <w:br/>
              <w:t>(with debugged failure case)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docs/evaluation_report.md</w:t>
            </w:r>
          </w:p>
        </w:tc>
        <w:tc>
          <w:tcPr>
            <w:tcW w:type="dxa" w:w="384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Live LLM-as-judge RAG results (45%, 9/20), tool selection (43%, 13/30), safety gate (100%, 5/5). Root-cause analysis of H2 faithfulness failure, fix applied, before/after scores. Latency P50/P95 from 57 real turns.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6. Engineering &amp;</w:t>
              <w:br/>
              <w:t>Product Justification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docs/engineering_justification.md</w:t>
            </w:r>
          </w:p>
        </w:tc>
        <w:tc>
          <w:tcPr>
            <w:tcW w:type="dxa" w:w="384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major design decisions: LangChain vs alternatives, ChromaDB, FastMCP rationale, Langfuse vs LangSmith, safety gate design, two-layer RLHF architecture, deployment assumptions.</w:t>
            </w:r>
          </w:p>
        </w:tc>
      </w:tr>
    </w:tbl>
    <w:p>
      <w:pPr>
        <w:spacing w:before="40" w:after="4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6"/>
        </w:rPr>
        <w:t>2.  Additional Documents and Their Purpose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0"/>
        </w:rPr>
        <w:t>The following documents go beyond the minimum submission requirements and provide deeper context for evaluators. They demonstrate the breadth of the engineering effort and the rigour applied across all 9 phases.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7"/>
        <w:gridCol w:w="3247"/>
        <w:gridCol w:w="3247"/>
      </w:tblGrid>
      <w:tr>
        <w:tc>
          <w:tcPr>
            <w:tcW w:type="dxa" w:w="2551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Document</w:t>
            </w:r>
          </w:p>
        </w:tc>
        <w:tc>
          <w:tcPr>
            <w:tcW w:type="dxa" w:w="1191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Location</w:t>
            </w:r>
          </w:p>
        </w:tc>
        <w:tc>
          <w:tcPr>
            <w:tcW w:type="dxa" w:w="5998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Purpose &amp; Relevance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docs/specification_v2.docx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Full technical specification: system architecture, data flow, tool contracts, safety policy, and MCP integration design. Primary design reference.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docs/architecture_diagram.docx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Architecture diagrams with component descriptions: Agent layer, RAG pipeline, Tool layer, Safety Gate, Langfuse Observability, RLHF pipeline, MCP server, RM Dashboard, and all data stores.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docs/code_flow_reference.docx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Method-level reference for every significant function across all modules. Section 1: annotated module table. Section 2: full method index with signatures. Useful for deep code review.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docs/concept_document.docx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High-level concept document covering the banking domain problem, agent behaviour design, and product scope — written for a non-technical stakeholder audience.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docs/loan_copilot_learner_guide.docx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End-user guide explaining how to interact with the agent, what questions to ask, and how to interpret responses. Demonstrates UX thinking and user-centred design.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docs/capstone_presentation.pptx</w:t>
              <w:br/>
              <w:t>docs/capstone_presentation.pdf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15-slide presentation deck covering problem, architecture, tools, safety, RLHF, evaluation, and demo. Speaker notes in docs/presentation_script.md. PDF version for offline viewing.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IMPLEMENTATION_PLAN.md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Root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Full task-by-task build log across 9 phases with done-criteria checked off. Transparent record of engineering journey, design decisions, and test milestones.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notebooks/ (7 Jupyter notebooks)</w:t>
              <w:br/>
              <w:t>Phases 2–8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notebooks/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One exploration notebook per phase: rules agent → LLM → RAG → 5 tools → memory → RLHF → Streamlit deployment. Demonstrates iterative development.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data/rlhf/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data/rlhf/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Live RLHF artefacts: feedback_store.json (20 real ratings + comments), adaptive_policy.json (3 LLM-generated behavioural instructions), escalations.json (RM escalation queue).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tests/ (424 test cases)</w:t>
              <w:br/>
              <w:t>16 test files</w:t>
            </w:r>
          </w:p>
        </w:tc>
        <w:tc>
          <w:tcPr>
            <w:tcW w:type="dxa" w:w="11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tests/</w:t>
            </w:r>
          </w:p>
        </w:tc>
        <w:tc>
          <w:tcPr>
            <w:tcW w:type="dxa" w:w="599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Full automated test suite covering all modules. Run with: python -m pytest. Includes unit, integration, and RLHF adaptive tests. All 424 pass.</w:t>
            </w:r>
          </w:p>
        </w:tc>
      </w:tr>
    </w:tbl>
    <w:p>
      <w:pPr>
        <w:spacing w:before="40" w:after="4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6"/>
        </w:rPr>
        <w:t>3.  Evidence for Graded Criteria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0"/>
        </w:rPr>
        <w:t>The submission note requires evidence for retrieval, tool usage, memory/planning, adaptation, evaluation, and safety enforcement. The table below maps each criterion to the specific files and artefacts that provide that evidence.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7"/>
        <w:gridCol w:w="3247"/>
        <w:gridCol w:w="3247"/>
      </w:tblGrid>
      <w:tr>
        <w:tc>
          <w:tcPr>
            <w:tcW w:type="dxa" w:w="1871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Graded Criterion</w:t>
            </w:r>
          </w:p>
        </w:tc>
        <w:tc>
          <w:tcPr>
            <w:tcW w:type="dxa" w:w="2778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Evidence Location</w:t>
            </w:r>
          </w:p>
        </w:tc>
        <w:tc>
          <w:tcPr>
            <w:tcW w:type="dxa" w:w="5091"/>
            <w:shd w:val="clear" w:color="auto" w:fill="D5E8F0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What to Look For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Retrieval (RAG)</w:t>
            </w:r>
          </w:p>
        </w:tc>
        <w:tc>
          <w:tcPr>
            <w:tcW w:type="dxa" w:w="277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docs/evaluation_report.md § RAG Quality</w:t>
              <w:br/>
              <w:t>docs/specification_v2.docx § RAG Pipeline</w:t>
              <w:br/>
              <w:t>retrieval/ source code</w:t>
            </w:r>
          </w:p>
        </w:tc>
        <w:tc>
          <w:tcPr>
            <w:tcW w:type="dxa" w:w="50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LLM-as-judge scores: relevance = 1.00 across all 20 questions. ChromaDB persistent store with text-embedding-3-small. 5 synthetic policy documents chunked, embedded, and indexed. RAG retrieval visible in Langfuse traces.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Tool Usage</w:t>
            </w:r>
          </w:p>
        </w:tc>
        <w:tc>
          <w:tcPr>
            <w:tcW w:type="dxa" w:w="277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docs/evaluation_report.md § Tool Selection</w:t>
              <w:br/>
              <w:t>tools/ source code</w:t>
              <w:br/>
              <w:t>docs/demo_script.md</w:t>
            </w:r>
          </w:p>
        </w:tc>
        <w:tc>
          <w:tcPr>
            <w:tcW w:type="dxa" w:w="50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 LangChain tools via ReAct loop. generate_escalation_summary: 100% accuracy (6/6). check_eligibility: 83% (5/6). Demo script shows tool inputs/outputs for all 5 scenarios. Tool contracts in specification_v2.docx.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Memory / Planning</w:t>
            </w:r>
          </w:p>
        </w:tc>
        <w:tc>
          <w:tcPr>
            <w:tcW w:type="dxa" w:w="277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agent/memory.py</w:t>
              <w:br/>
              <w:t>agent/planner.py</w:t>
              <w:br/>
              <w:t>docs/code_flow_reference.docx</w:t>
            </w:r>
          </w:p>
        </w:tc>
        <w:tc>
          <w:tcPr>
            <w:tcW w:type="dxa" w:w="50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ConversationBufferWindowMemory(k=10) retains last 10 turns. next_question() planner drives profile collection sequence. SessionState dataclass tracks all collected fields across turns.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Adaptation (RLHF)</w:t>
            </w:r>
          </w:p>
        </w:tc>
        <w:tc>
          <w:tcPr>
            <w:tcW w:type="dxa" w:w="277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data/rlhf/ (live artefacts)</w:t>
              <w:br/>
              <w:t>policy_rlhf/ source code</w:t>
              <w:br/>
              <w:t>docs/evaluation_report.md</w:t>
            </w:r>
          </w:p>
        </w:tc>
        <w:tc>
          <w:tcPr>
            <w:tcW w:type="dxa" w:w="50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Two-layer RLHF. Layer 1: inject_feedback_signal() queues corrections as SystemMessage within the live session. Layer 2: update_adaptive_policy() calls GPT-4o-mini with low-rated comments; writes instructions to adaptive_policy.json. 3 live entries currently active.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Evaluation</w:t>
            </w:r>
          </w:p>
        </w:tc>
        <w:tc>
          <w:tcPr>
            <w:tcW w:type="dxa" w:w="277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docs/evaluation_report.md</w:t>
              <w:br/>
              <w:t>scripts/run_evaluation.py</w:t>
              <w:br/>
              <w:t>evaluation/test_harness.py</w:t>
            </w:r>
          </w:p>
        </w:tc>
        <w:tc>
          <w:tcPr>
            <w:tcW w:type="dxa" w:w="50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Live results (2026-06-28): RAG 45% (9/20), Tool selection 43% (13/30), Safety 100% (5/5). Root-cause analysis of H2 faithfulness failure, fix applied to system prompt, before (F=0.00) and after (F=1.00) documented.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Enforcement</w:t>
            </w:r>
          </w:p>
        </w:tc>
        <w:tc>
          <w:tcPr>
            <w:tcW w:type="dxa" w:w="2778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safety/ source code</w:t>
              <w:br/>
              <w:t>docs/evaluation_report.md § Safety Gate</w:t>
              <w:br/>
              <w:t>logs/interactions.log</w:t>
            </w:r>
          </w:p>
        </w:tc>
        <w:tc>
          <w:tcPr>
            <w:tcW w:type="dxa" w:w="5091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Two-stage gate: keyword_filter (Stage A, &lt;1 ms, 0 LLM cost) blocks 4/5 adversarial prompts; GPT-4o-mini classifier (Stage B) catches the 5th (money laundering). PII masker (pii_filter.py) applied to every log write.</w:t>
            </w:r>
          </w:p>
        </w:tc>
      </w:tr>
    </w:tbl>
    <w:p>
      <w:pPr>
        <w:spacing w:before="40" w:after="4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6"/>
        </w:rPr>
        <w:t>4.  Rebuild Instructions for Evaluators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0"/>
        </w:rPr>
        <w:t>Two items are excluded from the zip to keep it small and avoid committing sensitive data:</w:t>
      </w:r>
    </w:p>
    <w:p>
      <w:pPr>
        <w:spacing w:before="40" w:after="40"/>
      </w:pPr>
    </w:p>
    <w:p>
      <w:pPr>
        <w:spacing w:before="60" w:after="40"/>
        <w:ind w:left="283"/>
      </w:pPr>
      <w:r>
        <w:rPr>
          <w:rFonts w:ascii="Arial" w:hAnsi="Arial"/>
          <w:b/>
          <w:i w:val="0"/>
          <w:color w:val="1F3864"/>
          <w:sz w:val="20"/>
        </w:rPr>
        <w:t xml:space="preserve">ChromaDB vector index: </w:t>
      </w:r>
      <w:r>
        <w:rPr>
          <w:rFonts w:ascii="Arial" w:hAnsi="Arial"/>
          <w:b w:val="0"/>
          <w:i w:val="0"/>
          <w:color w:val="000000"/>
          <w:sz w:val="20"/>
        </w:rPr>
        <w:t>knowledge/chromadb/ is NOT included — it is generated at runtime (4.7 MB). Rebuild after pip install:</w:t>
      </w:r>
    </w:p>
    <w:p>
      <w:pPr>
        <w:spacing w:before="20" w:after="20"/>
        <w:ind w:left="567"/>
      </w:pPr>
      <w:r>
        <w:rPr>
          <w:rFonts w:ascii="Courier New" w:hAnsi="Courier New"/>
          <w:b w:val="0"/>
          <w:i w:val="0"/>
          <w:color w:val="156082"/>
          <w:sz w:val="18"/>
        </w:rPr>
        <w:t>python scripts/ingest_documents.py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0"/>
        </w:rPr>
        <w:t>Expected output: 4 products ingested — N chunks stored in knowledge/chromadb/</w:t>
      </w:r>
    </w:p>
    <w:p>
      <w:pPr>
        <w:spacing w:before="40" w:after="40"/>
      </w:pPr>
    </w:p>
    <w:p>
      <w:pPr>
        <w:spacing w:before="60" w:after="40"/>
        <w:ind w:left="283"/>
      </w:pPr>
      <w:r>
        <w:rPr>
          <w:rFonts w:ascii="Arial" w:hAnsi="Arial"/>
          <w:b/>
          <w:i w:val="0"/>
          <w:color w:val="1F3864"/>
          <w:sz w:val="20"/>
        </w:rPr>
        <w:t xml:space="preserve">.env file: </w:t>
      </w:r>
      <w:r>
        <w:rPr>
          <w:rFonts w:ascii="Arial" w:hAnsi="Arial"/>
          <w:b w:val="0"/>
          <w:i w:val="0"/>
          <w:color w:val="000000"/>
          <w:sz w:val="20"/>
        </w:rPr>
        <w:t>.env is NOT included (contains API key). Copy the template and fill in your credentials:</w:t>
      </w:r>
    </w:p>
    <w:p>
      <w:pPr>
        <w:spacing w:before="20" w:after="20"/>
        <w:ind w:left="567"/>
      </w:pPr>
      <w:r>
        <w:rPr>
          <w:rFonts w:ascii="Courier New" w:hAnsi="Courier New"/>
          <w:b w:val="0"/>
          <w:i w:val="0"/>
          <w:color w:val="156082"/>
          <w:sz w:val="18"/>
        </w:rPr>
        <w:t>cp .env.example .env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0"/>
        </w:rPr>
        <w:t>Open .env and set your Vocareum or OpenAI key:</w:t>
      </w:r>
    </w:p>
    <w:p>
      <w:pPr>
        <w:spacing w:before="20" w:after="20"/>
        <w:ind w:left="567"/>
      </w:pPr>
      <w:r>
        <w:rPr>
          <w:rFonts w:ascii="Courier New" w:hAnsi="Courier New"/>
          <w:b w:val="0"/>
          <w:i w:val="0"/>
          <w:color w:val="156082"/>
          <w:sz w:val="18"/>
        </w:rPr>
        <w:t>OPENAI_API_KEY=&lt;your-key&gt;</w:t>
      </w:r>
    </w:p>
    <w:p>
      <w:pPr>
        <w:spacing w:before="20" w:after="20"/>
        <w:ind w:left="567"/>
      </w:pPr>
      <w:r>
        <w:rPr>
          <w:rFonts w:ascii="Courier New" w:hAnsi="Courier New"/>
          <w:b w:val="0"/>
          <w:i w:val="0"/>
          <w:color w:val="156082"/>
          <w:sz w:val="18"/>
        </w:rPr>
        <w:t>OPENAI_BASE_URL=https://openai.vocareum.com/v1   # Vocareum users</w:t>
      </w:r>
    </w:p>
    <w:p>
      <w:pPr>
        <w:spacing w:before="20" w:after="20"/>
        <w:ind w:left="567"/>
      </w:pPr>
      <w:r>
        <w:rPr>
          <w:rFonts w:ascii="Courier New" w:hAnsi="Courier New"/>
          <w:b w:val="0"/>
          <w:i w:val="0"/>
          <w:color w:val="156082"/>
          <w:sz w:val="18"/>
        </w:rPr>
        <w:t>OPENAI_BASE_URL=                                  # Standard OpenAI (leave blank)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0"/>
        </w:rPr>
        <w:t>USE_MCP is true by default. The agent automatically detects whether the mcp package is installed and falls back to direct tool imports silently if not — no manual flag needed.</w:t>
      </w:r>
    </w:p>
    <w:p>
      <w:pPr>
        <w:spacing w:before="40" w:after="40"/>
      </w:pPr>
    </w:p>
    <w:p>
      <w:pPr>
        <w:spacing w:before="60" w:after="40"/>
        <w:ind w:left="283"/>
      </w:pPr>
      <w:r>
        <w:rPr>
          <w:rFonts w:ascii="Arial" w:hAnsi="Arial"/>
          <w:b/>
          <w:i w:val="0"/>
          <w:color w:val="1F3864"/>
          <w:sz w:val="20"/>
        </w:rPr>
        <w:t xml:space="preserve">Launch the app: </w:t>
      </w:r>
      <w:r>
        <w:rPr>
          <w:rFonts w:ascii="Arial" w:hAnsi="Arial"/>
          <w:b w:val="0"/>
          <w:i w:val="0"/>
          <w:color w:val="000000"/>
          <w:sz w:val="20"/>
        </w:rPr>
        <w:t>After ingest, start the Streamlit UI:</w:t>
      </w:r>
    </w:p>
    <w:p>
      <w:pPr>
        <w:spacing w:before="20" w:after="20"/>
        <w:ind w:left="567"/>
      </w:pPr>
      <w:r>
        <w:rPr>
          <w:rFonts w:ascii="Courier New" w:hAnsi="Courier New"/>
          <w:b w:val="0"/>
          <w:i w:val="0"/>
          <w:color w:val="156082"/>
          <w:sz w:val="18"/>
        </w:rPr>
        <w:t>streamlit run deployment/app.py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0"/>
        </w:rPr>
        <w:t>Open http://localhost:8501. Two tabs: Customer Chat and RM Dashboard.</w:t>
      </w:r>
    </w:p>
    <w:p>
      <w:pPr>
        <w:spacing w:before="40" w:after="40"/>
      </w:pPr>
    </w:p>
    <w:p>
      <w:pPr>
        <w:spacing w:before="60" w:after="40"/>
        <w:ind w:left="283"/>
      </w:pPr>
      <w:r>
        <w:rPr>
          <w:rFonts w:ascii="Arial" w:hAnsi="Arial"/>
          <w:b/>
          <w:i w:val="0"/>
          <w:color w:val="1F3864"/>
          <w:sz w:val="20"/>
        </w:rPr>
        <w:t xml:space="preserve">Run tests: </w:t>
      </w:r>
      <w:r>
        <w:rPr>
          <w:rFonts w:ascii="Arial" w:hAnsi="Arial"/>
          <w:b w:val="0"/>
          <w:i w:val="0"/>
          <w:color w:val="000000"/>
          <w:sz w:val="20"/>
        </w:rPr>
        <w:t>424 tests across 16 files:</w:t>
      </w:r>
    </w:p>
    <w:p>
      <w:pPr>
        <w:spacing w:before="20" w:after="20"/>
        <w:ind w:left="567"/>
      </w:pPr>
      <w:r>
        <w:rPr>
          <w:rFonts w:ascii="Courier New" w:hAnsi="Courier New"/>
          <w:b w:val="0"/>
          <w:i w:val="0"/>
          <w:color w:val="156082"/>
          <w:sz w:val="18"/>
        </w:rPr>
        <w:t>python -m pytest</w:t>
      </w:r>
    </w:p>
    <w:sectPr w:rsidR="00FC693F" w:rsidRPr="0006063C" w:rsidSect="00034616">
      <w:footerReference w:type="default" r:id="rId9"/>
      <w:pgSz w:w="11906" w:h="16838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46464"/>
        <w:sz w:val="16"/>
      </w:rPr>
      <w:t xml:space="preserve">AI-Powered Loan Origination Copilot  |  Capstone Submission Guide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