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Arial" w:hAnsi="Arial"/>
          <w:b/>
          <w:i w:val="0"/>
          <w:color w:val="1F3864"/>
          <w:sz w:val="30"/>
        </w:rPr>
        <w:t>AI-Powered Loan Origination Copilot</w:t>
      </w:r>
    </w:p>
    <w:p>
      <w:pPr>
        <w:spacing w:before="0" w:after="60"/>
        <w:jc w:val="center"/>
      </w:pPr>
      <w:r>
        <w:rPr>
          <w:rFonts w:ascii="Arial" w:hAnsi="Arial"/>
          <w:b/>
          <w:i w:val="0"/>
          <w:color w:val="2E6EA6"/>
          <w:sz w:val="24"/>
        </w:rPr>
        <w:t>System Architecture — Complete Stack</w:t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06060"/>
          <w:sz w:val="17"/>
        </w:rPr>
        <w:t>IIT Madras Capstone  |  Scenario 2: Banking  |  Track A: LangChain  |  June 2026</w:t>
      </w:r>
    </w:p>
    <w:tbl>
      <w:tblPr>
        <w:tblLook w:firstColumn="1" w:firstRow="1" w:lastColumn="0" w:lastRow="0" w:noHBand="0" w:noVBand="1" w:val="04A0"/>
        <w:tblStyle w:val="TableGrid"/>
        <w:tblW w:w="10800" w:type="dxa"/>
      </w:tblPr>
      <w:tblGrid>
        <w:gridCol w:w="5400"/>
        <w:gridCol w:w="5400"/>
      </w:tblGrid>
      <w:tr>
        <w:tc>
          <w:tcPr>
            <w:tcW w:w="10800" w:type="dxa"/>
            <w:gridSpan w:val="2"/>
            <w:shd w:val="clear" w:color="auto" w:fill="1F4E79"/>
            <w:tcBorders>
              <w:top w:val="single" w:sz="10" w:color="3A3A3A" w:space="0"/>
              <w:left w:val="single" w:sz="10" w:color="3A3A3A" w:space="0"/>
              <w:bottom w:val="single" w:sz="10" w:color="3A3A3A" w:space="0"/>
              <w:right w:val="single" w:sz="10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①  PRESENTATION LAYER  —  User Interface</w:t>
            </w:r>
          </w:p>
        </w:tc>
      </w:tr>
      <w:tr>
        <w:tc>
          <w:tcPr>
            <w:tcW w:w="5400" w:type="dxa"/>
            <w:shd w:val="clear" w:color="auto" w:fill="2E6099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CLI Interface  (Phases 2–7)</w:t>
            </w:r>
          </w:p>
        </w:tc>
        <w:tc>
          <w:tcPr>
            <w:tcW w:w="5400" w:type="dxa"/>
            <w:shd w:val="clear" w:color="auto" w:fill="2E6099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Streamlit Web App  (Phase 8+)</w:t>
            </w:r>
          </w:p>
        </w:tc>
      </w:tr>
      <w:tr>
        <w:tc>
          <w:tcPr>
            <w:tcW w:w="5400" w:type="dxa"/>
            <w:shd w:val="clear" w:color="auto" w:fill="D9E9F5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1F4E79"/>
                <w:sz w:val="17"/>
              </w:rPr>
              <w:t>Terminal-based interaction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All 9 capstone phases demonstrable via CLI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Phase 2: regex/keyword intent  ·  Phase 3+: LLM-backed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Structured JSON session logs + escalation audit trail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Primary development interface throughout build</w:t>
            </w:r>
          </w:p>
        </w:tc>
        <w:tc>
          <w:tcPr>
            <w:tcW w:w="5400" w:type="dxa"/>
            <w:shd w:val="clear" w:color="auto" w:fill="D9E9F5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1F4E79"/>
                <w:sz w:val="17"/>
              </w:rPr>
              <w:t>Two-tab Streamlit web interface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Customer Chat tab — full multi-turn advisory conversation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RM Dashboard tab — escalation review queue + annotation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RM views structured brief before first customer call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RM escalation quality scored 1–5 via Langfuse annotation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F4E79"/>
                <w:sz w:val="16"/>
              </w:rPr>
              <w:t>▸  🧠 Adaptive Policy tab — active LLM-generated behavioural instructions; source (🤖 LLM-generated / ✏️ manual) and trigger count displayed</w:t>
            </w:r>
          </w:p>
        </w:tc>
      </w:tr>
      <w:tr>
        <w:trPr>
          <w:trHeight w:val="240" w:hRule="exact"/>
        </w:trPr>
        <w:tc>
          <w:tcPr>
            <w:tcW w:w="10800" w:type="dxa"/>
            <w:gridSpan w:val="2"/>
            <w:shd w:val="clear" w:color="auto" w:fill="F3F3F3"/>
            <w:tcBorders>
              <w:top w:val="single" w:sz="2" w:color="D0D0D0" w:space="0"/>
              <w:left w:val="single" w:sz="2" w:color="D0D0D0" w:space="0"/>
              <w:bottom w:val="single" w:sz="2" w:color="D0D0D0" w:space="0"/>
              <w:right w:val="single" w:sz="2" w:color="D0D0D0" w:space="0"/>
            </w:tcBorders>
            <w:tcMar>
              <w:top w:w="20" w:type="dxa"/>
              <w:bottom w:w="2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15"/>
              </w:rPr>
              <w:t>↓   User input routed through Safety Gate</w:t>
            </w:r>
          </w:p>
        </w:tc>
      </w:tr>
      <w:tr>
        <w:tc>
          <w:tcPr>
            <w:tcW w:w="10800" w:type="dxa"/>
            <w:gridSpan w:val="2"/>
            <w:shd w:val="clear" w:color="auto" w:fill="C00000"/>
            <w:tcBorders>
              <w:top w:val="single" w:sz="10" w:color="3A3A3A" w:space="0"/>
              <w:left w:val="single" w:sz="10" w:color="3A3A3A" w:space="0"/>
              <w:bottom w:val="single" w:sz="10" w:color="3A3A3A" w:space="0"/>
              <w:right w:val="single" w:sz="10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②  SAFETY GATE  —  Two-Stage Input Filtering  (Before Main-Agent LLM)</w:t>
            </w:r>
          </w:p>
        </w:tc>
      </w:tr>
      <w:tr>
        <w:tc>
          <w:tcPr>
            <w:tcW w:w="5400" w:type="dxa"/>
            <w:shd w:val="clear" w:color="auto" w:fill="A50000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 A:  Keyword Pre-filter  (fast-path)</w:t>
            </w:r>
          </w:p>
        </w:tc>
        <w:tc>
          <w:tcPr>
            <w:tcW w:w="5400" w:type="dxa"/>
            <w:shd w:val="clear" w:color="auto" w:fill="A50000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 B:  LLM Intent Classifier  (primary)</w:t>
            </w:r>
          </w:p>
        </w:tc>
      </w:tr>
      <w:tr>
        <w:tc>
          <w:tcPr>
            <w:tcW w:w="5400" w:type="dxa"/>
            <w:shd w:val="clear" w:color="auto" w:fill="FDEBEB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800000"/>
                <w:sz w:val="17"/>
              </w:rPr>
              <w:t>Runs first — zero LLM cost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Regex / keyword match on obvious harmful patterns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Blocks: approval demands  ·  money transfer  ·  legal advice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Blocks: prompt injection (“ignore previous instructions”)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Match → instant canned hard refusal; attempt logged</w:t>
            </w:r>
          </w:p>
        </w:tc>
        <w:tc>
          <w:tcPr>
            <w:tcW w:w="5400" w:type="dxa"/>
            <w:shd w:val="clear" w:color="auto" w:fill="FDEBEB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800000"/>
                <w:sz w:val="17"/>
              </w:rPr>
              <w:t>GPT-4o-mini  ·  &lt; 50 input tokens  ·  ~100ms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Classifies: IN_SCOPE  /  OUT_OF_SCOPE  /  AMBIGUOUS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IN_SCOPE → proceeds to Orchestration Layer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OUT_OF_SCOPE → hard refusal; main-agent LLM not invoked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800000"/>
                <w:sz w:val="16"/>
              </w:rPr>
              <w:t>▸  AMBIGUOUS → targeted clarification prompt returned</w:t>
            </w:r>
          </w:p>
        </w:tc>
      </w:tr>
      <w:tr>
        <w:trPr>
          <w:trHeight w:val="240" w:hRule="exact"/>
        </w:trPr>
        <w:tc>
          <w:tcPr>
            <w:tcW w:w="10800" w:type="dxa"/>
            <w:gridSpan w:val="2"/>
            <w:shd w:val="clear" w:color="auto" w:fill="F3F3F3"/>
            <w:tcBorders>
              <w:top w:val="single" w:sz="2" w:color="D0D0D0" w:space="0"/>
              <w:left w:val="single" w:sz="2" w:color="D0D0D0" w:space="0"/>
              <w:bottom w:val="single" w:sz="2" w:color="D0D0D0" w:space="0"/>
              <w:right w:val="single" w:sz="2" w:color="D0D0D0" w:space="0"/>
            </w:tcBorders>
            <w:tcMar>
              <w:top w:w="20" w:type="dxa"/>
              <w:bottom w:w="2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15"/>
              </w:rPr>
              <w:t>↓   IN_SCOPE inputs enter Orchestration Layer</w:t>
            </w:r>
          </w:p>
        </w:tc>
      </w:tr>
      <w:tr>
        <w:tc>
          <w:tcPr>
            <w:tcW w:w="10800" w:type="dxa"/>
            <w:gridSpan w:val="2"/>
            <w:shd w:val="clear" w:color="auto" w:fill="7030A0"/>
            <w:tcBorders>
              <w:top w:val="single" w:sz="10" w:color="3A3A3A" w:space="0"/>
              <w:left w:val="single" w:sz="10" w:color="3A3A3A" w:space="0"/>
              <w:bottom w:val="single" w:sz="10" w:color="3A3A3A" w:space="0"/>
              <w:right w:val="single" w:sz="10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③  ORCHESTRATION  —  LangChain AgentExecutor  (ReAct Pattern)</w:t>
            </w:r>
          </w:p>
        </w:tc>
      </w:tr>
      <w:tr>
        <w:tc>
          <w:tcPr>
            <w:tcW w:w="10800" w:type="dxa"/>
            <w:gridSpan w:val="2"/>
            <w:shd w:val="clear" w:color="auto" w:fill="ECE4F5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4A0080"/>
                <w:sz w:val="17"/>
              </w:rPr>
              <w:t>11-Step Conversational Workflow: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4A0080"/>
                <w:sz w:val="17"/>
              </w:rPr>
              <w:t>①  Session Init  →  ②  Intent Classify  →  ③  Safety Gate  →  ④  Profile Collection  →  ⑤  RAG Retrieval  →  ⑥  Tool Invocation</w:t>
            </w:r>
          </w:p>
          <w:p>
            <w:pPr>
              <w:spacing w:before="0" w:after="80"/>
            </w:pPr>
            <w:r>
              <w:rPr>
                <w:rFonts w:ascii="Arial" w:hAnsi="Arial"/>
                <w:b w:val="0"/>
                <w:i w:val="0"/>
                <w:color w:val="4A0080"/>
                <w:sz w:val="17"/>
              </w:rPr>
              <w:t>→  ⑦  Response Synthesis  →  ⑧  Risk &amp; Confidence Check  →  ⑨a  Escalation Path  /  ⑨b  Continuation Path  →  ⑩a  RM Dashboard  /  ⑩b  Session Log  →  ⑪  RM Reviews &amp; Acts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6A00A0"/>
                <w:sz w:val="16"/>
              </w:rPr>
              <w:t>ReAct pattern: LLM states tool-selection reasoning before each invocation — every decision traceable in Langfuse.</w:t>
            </w:r>
          </w:p>
        </w:tc>
      </w:tr>
      <w:tr>
        <w:trPr>
          <w:trHeight w:val="240" w:hRule="exact"/>
        </w:trPr>
        <w:tc>
          <w:tcPr>
            <w:tcW w:w="10800" w:type="dxa"/>
            <w:gridSpan w:val="2"/>
            <w:shd w:val="clear" w:color="auto" w:fill="F3F3F3"/>
            <w:tcBorders>
              <w:top w:val="single" w:sz="2" w:color="D0D0D0" w:space="0"/>
              <w:left w:val="single" w:sz="2" w:color="D0D0D0" w:space="0"/>
              <w:bottom w:val="single" w:sz="2" w:color="D0D0D0" w:space="0"/>
              <w:right w:val="single" w:sz="2" w:color="D0D0D0" w:space="0"/>
            </w:tcBorders>
            <w:tcMar>
              <w:top w:w="20" w:type="dxa"/>
              <w:bottom w:w="2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15"/>
              </w:rPr>
              <w:t>↓   Orchestrator dispatches to LLM Engine, Retrieval, and Tools</w:t>
            </w:r>
          </w:p>
        </w:tc>
      </w:tr>
      <w:tr>
        <w:tc>
          <w:tcPr>
            <w:tcW w:w="5400" w:type="dxa"/>
            <w:shd w:val="clear" w:color="auto" w:fill="0070C0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④  LLM ENGINE  —  OpenAI GPT-4o</w:t>
            </w:r>
          </w:p>
        </w:tc>
        <w:tc>
          <w:tcPr>
            <w:tcW w:w="5400" w:type="dxa"/>
            <w:shd w:val="clear" w:color="auto" w:fill="375623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⑤  SESSION MEMORY  —  Multi-Layer State</w:t>
            </w:r>
          </w:p>
        </w:tc>
      </w:tr>
      <w:tr>
        <w:tc>
          <w:tcPr>
            <w:tcW w:w="5400" w:type="dxa"/>
            <w:shd w:val="clear" w:color="auto" w:fill="DDEEF9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0D3A6E"/>
                <w:sz w:val="17"/>
              </w:rPr>
              <w:t>Language model — response synthesis &amp; tool reasoning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0D3A6E"/>
                <w:sz w:val="16"/>
              </w:rPr>
              <w:t>▸  GPT-4o: strong reasoning &amp; tool-call accuracy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0D3A6E"/>
                <w:sz w:val="16"/>
              </w:rPr>
              <w:t>▸  All calls auto-traced via Langfuse CallbackHandler (~10 lines)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0D3A6E"/>
                <w:sz w:val="16"/>
              </w:rPr>
              <w:t>▸  LLM synthesises plain-language text around tool outputs only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0D3A6E"/>
                <w:sz w:val="16"/>
              </w:rPr>
              <w:t>▸  LLM cannot generate financial figures — all numbers from tools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0D3A6E"/>
                <w:sz w:val="16"/>
              </w:rPr>
              <w:t>▸  Mandatory disclaimers enforced in system prompt (Variant 3)</w:t>
            </w:r>
          </w:p>
        </w:tc>
        <w:tc>
          <w:tcPr>
            <w:tcW w:w="5400" w:type="dxa"/>
            <w:shd w:val="clear" w:color="auto" w:fill="EAF4E2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2A4A1A"/>
                <w:sz w:val="17"/>
              </w:rPr>
              <w:t>Three-tier memory architecture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A4A1A"/>
                <w:sz w:val="16"/>
              </w:rPr>
              <w:t>▸  ConversationBufferWindowMemory — last 10 dialogue turns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A4A1A"/>
                <w:sz w:val="16"/>
              </w:rPr>
              <w:t>▸  Session State Dict — profile fields, journey stage, risk band, flags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A4A1A"/>
                <w:sz w:val="16"/>
              </w:rPr>
              <w:t>▸  Feedback Store — data/rlhf/feedback_store.json (1–5 star ratings + text comments; PII-masked before write; never auto-deleted)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A4A1A"/>
                <w:sz w:val="16"/>
              </w:rPr>
              <w:t>▸  Escalation Log — data/rlhf/escalations.json (surfaced in RM Dashboard)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A4A1A"/>
                <w:sz w:val="16"/>
              </w:rPr>
              <w:t>▸  Adaptive Policy — data/rlhf/adaptive_policy.json (LLM-generated behavioural instructions from low-rated sessions; stacked into system prompt by get_adapted_prompt() at session start; manual entries permanently protected)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A4A1A"/>
                <w:sz w:val="16"/>
              </w:rPr>
              <w:t>▸  Reset on session end; feedback, escalation, and adaptive policy persist across sessions</w:t>
            </w:r>
          </w:p>
        </w:tc>
      </w:tr>
      <w:tr>
        <w:trPr>
          <w:trHeight w:val="240" w:hRule="exact"/>
        </w:trPr>
        <w:tc>
          <w:tcPr>
            <w:tcW w:w="10800" w:type="dxa"/>
            <w:gridSpan w:val="2"/>
            <w:shd w:val="clear" w:color="auto" w:fill="F3F3F3"/>
            <w:tcBorders>
              <w:top w:val="single" w:sz="2" w:color="D0D0D0" w:space="0"/>
              <w:left w:val="single" w:sz="2" w:color="D0D0D0" w:space="0"/>
              <w:bottom w:val="single" w:sz="2" w:color="D0D0D0" w:space="0"/>
              <w:right w:val="single" w:sz="2" w:color="D0D0D0" w:space="0"/>
            </w:tcBorders>
            <w:tcMar>
              <w:top w:w="20" w:type="dxa"/>
              <w:bottom w:w="2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15"/>
              </w:rPr>
              <w:t>↓   Retrieval and tools invoked deterministically</w:t>
            </w:r>
          </w:p>
        </w:tc>
      </w:tr>
      <w:tr>
        <w:tc>
          <w:tcPr>
            <w:tcW w:w="5400" w:type="dxa"/>
            <w:shd w:val="clear" w:color="auto" w:fill="BF6A13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⑥  RAG RETRIEVAL  —  ChromaDB Vector Store</w:t>
            </w:r>
          </w:p>
        </w:tc>
        <w:tc>
          <w:tcPr>
            <w:tcW w:w="5400" w:type="dxa"/>
            <w:shd w:val="clear" w:color="auto" w:fill="7B3403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⑦  DETERMINISTIC TOOLS  —  5 LangChain Functions</w:t>
            </w:r>
          </w:p>
        </w:tc>
      </w:tr>
      <w:tr>
        <w:tc>
          <w:tcPr>
            <w:tcW w:w="5400" w:type="dxa"/>
            <w:shd w:val="clear" w:color="auto" w:fill="FEF0E4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7A3500"/>
                <w:sz w:val="17"/>
              </w:rPr>
              <w:t>Semantic retrieval from policy knowledge base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7A3500"/>
                <w:sz w:val="16"/>
              </w:rPr>
              <w:t>▸  Vector store: ChromaDB  (local · prototype  /  VM · production)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7A3500"/>
                <w:sz w:val="16"/>
              </w:rPr>
              <w:t>▸  Embeddings: OpenAI text-embedding-3-small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7A3500"/>
                <w:sz w:val="16"/>
              </w:rPr>
              <w:t>▸  chunk_size = 500 tokens  ·  overlap = 100 tokens  ·  top_k = 3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7A3500"/>
                <w:sz w:val="16"/>
              </w:rPr>
              <w:t>▸  Below threshold → uncertainty stated; never uses LLM general knowledge</w:t>
            </w:r>
          </w:p>
        </w:tc>
        <w:tc>
          <w:tcPr>
            <w:tcW w:w="5400" w:type="dxa"/>
            <w:shd w:val="clear" w:color="auto" w:fill="FDDEC7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5C2800"/>
                <w:sz w:val="17"/>
              </w:rPr>
              <w:t>All numeric outputs from tools — LLM cannot generate figures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5C2800"/>
                <w:sz w:val="16"/>
              </w:rPr>
              <w:t>▸  calculate_emi — EMI formula, called ×2 (lower + upper rate bound)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5C2800"/>
                <w:sz w:val="16"/>
              </w:rPr>
              <w:t>▸  check_eligibility — FOIR · LTI · employment haircut · ceiling check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5C2800"/>
                <w:sz w:val="16"/>
              </w:rPr>
              <w:t>▸  get_document_checklist — deterministic 4×3 product/employment table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5C2800"/>
                <w:sz w:val="16"/>
              </w:rPr>
              <w:t>▸  query_loan_policy — RAG-backed policy FAQ via ChromaDB (rates · fees · tenure · NRI · prepayment · CIBIL criteria)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5C2800"/>
                <w:sz w:val="16"/>
              </w:rPr>
              <w:t>▸  generate_escalation_summary — utility; direct call only, not by LLM</w:t>
            </w:r>
          </w:p>
          <w:p>
            <w:pPr>
              <w:spacing w:before="30" w:after="0"/>
              <w:jc w:val="left"/>
            </w:pPr>
            <w:r>
              <w:rPr>
                <w:rFonts w:ascii="Arial" w:hAnsi="Arial"/>
                <w:b w:val="0"/>
                <w:i w:val="0"/>
                <w:color w:val="6A0DAD"/>
                <w:sz w:val="16"/>
              </w:rPr>
              <w:t>▸  All 5 tools also exposed via MCP (loan_mcp/server.py · FastMCP v1.27 · USE_MCP=true · stdio &amp; HTTP transport)</w:t>
            </w:r>
          </w:p>
        </w:tc>
      </w:tr>
      <w:tr>
        <w:trPr>
          <w:trHeight w:val="240" w:hRule="exact"/>
        </w:trPr>
        <w:tc>
          <w:tcPr>
            <w:tcW w:w="10800" w:type="dxa"/>
            <w:gridSpan w:val="2"/>
            <w:shd w:val="clear" w:color="auto" w:fill="F3F3F3"/>
            <w:tcBorders>
              <w:top w:val="single" w:sz="2" w:color="D0D0D0" w:space="0"/>
              <w:left w:val="single" w:sz="2" w:color="D0D0D0" w:space="0"/>
              <w:bottom w:val="single" w:sz="2" w:color="D0D0D0" w:space="0"/>
              <w:right w:val="single" w:sz="2" w:color="D0D0D0" w:space="0"/>
            </w:tcBorders>
            <w:tcMar>
              <w:top w:w="20" w:type="dxa"/>
              <w:bottom w:w="2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15"/>
              </w:rPr>
              <w:t>↓   Data sources and persistence layer</w:t>
            </w:r>
          </w:p>
        </w:tc>
      </w:tr>
      <w:tr>
        <w:tc>
          <w:tcPr>
            <w:tcW w:w="5400" w:type="dxa"/>
            <w:shd w:val="clear" w:color="auto" w:fill="4E7E2C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⑧  KNOWLEDGE BASE  —  5 Policy Documents</w:t>
            </w:r>
          </w:p>
        </w:tc>
        <w:tc>
          <w:tcPr>
            <w:tcW w:w="5400" w:type="dxa"/>
            <w:shd w:val="clear" w:color="auto" w:fill="2F5496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⑨  STRUCTURED STORAGE  —  JSON Audit Trail</w:t>
            </w:r>
          </w:p>
        </w:tc>
      </w:tr>
      <w:tr>
        <w:tc>
          <w:tcPr>
            <w:tcW w:w="5400" w:type="dxa"/>
            <w:shd w:val="clear" w:color="auto" w:fill="E8F4DC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2E5219"/>
                <w:sz w:val="17"/>
              </w:rPr>
              <w:t>Synthetic docs grounded in SBI / HDFC / RBI guidelines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E5219"/>
                <w:sz w:val="16"/>
              </w:rPr>
              <w:t>▸  home_loan_policy.txt — LTV slabs · eligibility · rate bands · docs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E5219"/>
                <w:sz w:val="16"/>
              </w:rPr>
              <w:t>▸  personal_loan_policy.txt — rate range 9.99–24% · FOIR · tenure 1–5yr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E5219"/>
                <w:sz w:val="16"/>
              </w:rPr>
              <w:t>▸  msme_loan_policy.txt — Udyam · MUDRA/CGTMSE · DSCR · GST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E5219"/>
                <w:sz w:val="16"/>
              </w:rPr>
              <w:t>▸  car_loan_policy.txt — LTV 85% · 8.75–10.50% · hypothecation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2E5219"/>
                <w:sz w:val="16"/>
              </w:rPr>
              <w:t>▸  general_faq.txt — 20 Q&amp;As on CIBIL · FOIR · EBLR · NACH</w:t>
            </w:r>
          </w:p>
        </w:tc>
        <w:tc>
          <w:tcPr>
            <w:tcW w:w="5400" w:type="dxa"/>
            <w:shd w:val="clear" w:color="auto" w:fill="DAE4F4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1A3060"/>
                <w:sz w:val="17"/>
              </w:rPr>
              <w:t>PII masked before every write  (Aadhaar · PAN · mobile · email)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3060"/>
                <w:sz w:val="16"/>
              </w:rPr>
              <w:t>▸  logs/interactions.jsonl — PII-masked audit record: timestamp · intent · tool calls · latency_ms · masked response; always written independent of Langfuse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3060"/>
                <w:sz w:val="16"/>
              </w:rPr>
              <w:t>▸  data/rlhf/feedback_store.json — 1–5 star rating · text comment · turn · PII-masked response preview; never auto-deleted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3060"/>
                <w:sz w:val="16"/>
              </w:rPr>
              <w:t>▸  data/rlhf/adaptive_policy.json — LLM-generated behavioural rules (source: 🤖 LLM / ✏️ manual); trigger_count + active flag per entry; stacked into prompt by get_adapted_prompt()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3060"/>
                <w:sz w:val="16"/>
              </w:rPr>
              <w:t>▸  data/rlhf/escalations.json — full RM brief; never auto-deleted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3060"/>
                <w:sz w:val="16"/>
              </w:rPr>
              <w:t>▸  Retention: 90 days prototype  /  7 years production (RBI guideline)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3060"/>
                <w:sz w:val="16"/>
              </w:rPr>
              <w:t>▸  Production: logs → AWS S3 (~50 MB/month · ₹2/month)</w:t>
            </w:r>
          </w:p>
        </w:tc>
      </w:tr>
      <w:tr>
        <w:trPr>
          <w:trHeight w:val="240" w:hRule="exact"/>
        </w:trPr>
        <w:tc>
          <w:tcPr>
            <w:tcW w:w="10800" w:type="dxa"/>
            <w:gridSpan w:val="2"/>
            <w:shd w:val="clear" w:color="auto" w:fill="F3F3F3"/>
            <w:tcBorders>
              <w:top w:val="single" w:sz="2" w:color="D0D0D0" w:space="0"/>
              <w:left w:val="single" w:sz="2" w:color="D0D0D0" w:space="0"/>
              <w:bottom w:val="single" w:sz="2" w:color="D0D0D0" w:space="0"/>
              <w:right w:val="single" w:sz="2" w:color="D0D0D0" w:space="0"/>
            </w:tcBorders>
            <w:tcMar>
              <w:top w:w="20" w:type="dxa"/>
              <w:bottom w:w="20" w:type="dxa"/>
              <w:left w:w="16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8888"/>
                <w:sz w:val="15"/>
              </w:rPr>
              <w:t>↓   All activity observable in Langfuse self-hosted</w:t>
            </w:r>
          </w:p>
        </w:tc>
      </w:tr>
      <w:tr>
        <w:tc>
          <w:tcPr>
            <w:tcW w:w="10800" w:type="dxa"/>
            <w:gridSpan w:val="2"/>
            <w:shd w:val="clear" w:color="auto" w:fill="1F3864"/>
            <w:tcBorders>
              <w:top w:val="single" w:sz="10" w:color="3A3A3A" w:space="0"/>
              <w:left w:val="single" w:sz="10" w:color="3A3A3A" w:space="0"/>
              <w:bottom w:val="single" w:sz="10" w:color="3A3A3A" w:space="0"/>
              <w:right w:val="single" w:sz="10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⑩  OBSERVABILITY  —  Langfuse Self-Hosted  (Docker Compose · On-Premises · Zero Marginal Cost)</w:t>
            </w:r>
          </w:p>
        </w:tc>
      </w:tr>
      <w:tr>
        <w:tc>
          <w:tcPr>
            <w:tcW w:w="5400" w:type="dxa"/>
            <w:shd w:val="clear" w:color="auto" w:fill="2B4A7A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Tracing  ·  Cost Tracking  ·  Dataset Evaluation</w:t>
            </w:r>
          </w:p>
        </w:tc>
        <w:tc>
          <w:tcPr>
            <w:tcW w:w="5400" w:type="dxa"/>
            <w:shd w:val="clear" w:color="auto" w:fill="2B4A7A"/>
            <w:tcBorders>
              <w:top w:val="single" w:sz="7" w:color="3A3A3A" w:space="0"/>
              <w:left w:val="single" w:sz="7" w:color="3A3A3A" w:space="0"/>
              <w:bottom w:val="single" w:sz="7" w:color="3A3A3A" w:space="0"/>
              <w:right w:val="single" w:sz="7" w:color="3A3A3A" w:space="0"/>
            </w:tcBorders>
            <w:tcMar>
              <w:top w:w="75" w:type="dxa"/>
              <w:bottom w:w="75" w:type="dxa"/>
              <w:left w:w="160" w:type="dxa"/>
              <w:right w:w="16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Session Scoring  ·  RAG Quality  ·  Human Annotation</w:t>
            </w:r>
          </w:p>
        </w:tc>
      </w:tr>
      <w:tr>
        <w:tc>
          <w:tcPr>
            <w:tcW w:w="5400" w:type="dxa"/>
            <w:shd w:val="clear" w:color="auto" w:fill="D5DCF2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1A2C5B"/>
                <w:sz w:val="17"/>
              </w:rPr>
              <w:t>Auto-tracing via CallbackHandler — zero code change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Every call traced: LLM I/O · tool calls · chunks · latency · cost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Dataset Eval: 20Q RAG + 30-scenario tools + 5-prompt safety set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Prompt comparison V1/V2/V3 × 5 questions → exported table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Cost per session auto-computed → validates ROI assumptions live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4A5A8A"/>
                <w:sz w:val="15"/>
              </w:rPr>
              <w:t>LangSmith excluded (cloud-only, banking PII risk)  ·  Arize Phoenix excluded (RAG eval covered by Langfuse LLM-as-judge)</w:t>
            </w:r>
          </w:p>
        </w:tc>
        <w:tc>
          <w:tcPr>
            <w:tcW w:w="5400" w:type="dxa"/>
            <w:shd w:val="clear" w:color="auto" w:fill="D5DCF2"/>
            <w:tcBorders>
              <w:top w:val="single" w:sz="5" w:color="808080" w:space="0"/>
              <w:left w:val="single" w:sz="5" w:color="808080" w:space="0"/>
              <w:bottom w:val="single" w:sz="5" w:color="808080" w:space="0"/>
              <w:right w:val="single" w:sz="5" w:color="808080" w:space="0"/>
            </w:tcBorders>
            <w:tcMar>
              <w:top w:w="85" w:type="dxa"/>
              <w:bottom w:w="85" w:type="dxa"/>
              <w:left w:w="160" w:type="dxa"/>
              <w:right w:w="160" w:type="dxa"/>
            </w:tcMar>
          </w:tcPr>
          <w:p>
            <w:pPr>
              <w:spacing w:before="0" w:after="80"/>
              <w:jc w:val="left"/>
            </w:pPr>
            <w:r>
              <w:rPr>
                <w:rFonts w:ascii="Arial" w:hAnsi="Arial"/>
                <w:b/>
                <w:i w:val="0"/>
                <w:color w:val="1A2C5B"/>
                <w:sz w:val="17"/>
              </w:rPr>
              <w:t>Self-hosted — all trace data on-premises  (banking PII compliance)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Session grouping: full multi-turn conversation in single view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LLM-as-judge RAG: auto-flags responses with ungrounded numeric figures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Human annotation: RM escalation summaries rated 1–5 for quality</w:t>
            </w:r>
          </w:p>
          <w:p>
            <w:pPr>
              <w:spacing w:before="0" w:after="30"/>
              <w:jc w:val="left"/>
            </w:pPr>
            <w:r>
              <w:rPr>
                <w:rFonts w:ascii="Arial" w:hAnsi="Arial"/>
                <w:b w:val="0"/>
                <w:i w:val="0"/>
                <w:color w:val="1A2C5B"/>
                <w:sz w:val="16"/>
              </w:rPr>
              <w:t>▸  Escalation rate dashboard: 15–35% target band · alert if outside range</w:t>
            </w:r>
          </w:p>
        </w:tc>
      </w:tr>
    </w:tbl>
    <w:p>
      <w:pPr>
        <w:spacing w:before="80" w:after="60"/>
        <w:jc w:val="center"/>
        <w:pageBreakBefore w:val="1"/>
      </w:pPr>
      <w:r>
        <w:rPr>
          <w:rFonts w:ascii="Arial" w:hAnsi="Arial"/>
          <w:b/>
          <w:i w:val="0"/>
          <w:color w:val="1F3864"/>
          <w:sz w:val="26"/>
        </w:rPr>
        <w:t>Prototype vs Production  —  Deployment Architecture</w:t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606060"/>
          <w:sz w:val="17"/>
        </w:rPr>
        <w:t>Component-by-component comparison: 10-day local build vs production on AWS</w:t>
      </w:r>
    </w:p>
    <w:tbl>
      <w:tblPr>
        <w:tblLook w:firstColumn="1" w:firstRow="1" w:lastColumn="0" w:lastRow="0" w:noHBand="0" w:noVBand="1" w:val="04A0"/>
        <w:tblStyle w:val="TableGrid"/>
        <w:tblW w:w="10800" w:type="dxa"/>
      </w:tblPr>
      <w:tblGrid>
        <w:gridCol w:w="3600"/>
        <w:gridCol w:w="3600"/>
        <w:gridCol w:w="3600"/>
      </w:tblGrid>
      <w:tr>
        <w:tc>
          <w:tcPr>
            <w:tcW w:w="2200" w:type="dxa"/>
            <w:shd w:val="clear" w:color="auto" w:fill="1F3864"/>
            <w:tcBorders>
              <w:top w:val="single" w:sz="8" w:color="303030" w:space="0"/>
              <w:left w:val="single" w:sz="8" w:color="303030" w:space="0"/>
              <w:bottom w:val="single" w:sz="8" w:color="303030" w:space="0"/>
              <w:right w:val="single" w:sz="8" w:color="30303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w="4300" w:type="dxa"/>
            <w:shd w:val="clear" w:color="auto" w:fill="1B5E8A"/>
            <w:tcBorders>
              <w:top w:val="single" w:sz="8" w:color="303030" w:space="0"/>
              <w:left w:val="single" w:sz="8" w:color="303030" w:space="0"/>
              <w:bottom w:val="single" w:sz="8" w:color="303030" w:space="0"/>
              <w:right w:val="single" w:sz="8" w:color="30303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Prototype  (Days 1–10  ·  Local Machine)</w:t>
            </w:r>
          </w:p>
        </w:tc>
        <w:tc>
          <w:tcPr>
            <w:tcW w:w="4300" w:type="dxa"/>
            <w:shd w:val="clear" w:color="auto" w:fill="1B4E3A"/>
            <w:tcBorders>
              <w:top w:val="single" w:sz="8" w:color="303030" w:space="0"/>
              <w:left w:val="single" w:sz="8" w:color="303030" w:space="0"/>
              <w:bottom w:val="single" w:sz="8" w:color="303030" w:space="0"/>
              <w:right w:val="single" w:sz="8" w:color="30303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Production  (Month 1+  ·  AWS t3.small)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User Interface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CLI (Phases 2–7)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Streamlit packaged in Phase 8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Streamlit (Customer Chat + RM Dashboard)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Public URL on EC2 or cloud platform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Compute / Hosting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Developer's MacBook — ₹0 incremental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No additional infrastructure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AWS t3.small — 2 vCPU, 2 GB RAM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$0.023/hr × 730 hrs = ₹1,607/month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LLM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GPT-4o (agent) · GPT-4o-mini (safety)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~500 test calls · ₹49 total API cost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GPT-4o (agent) · GPT-4o-mini (safety)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3,000 sessions × 12 turns · ₹879/month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Vector Store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ChromaDB local (file-based)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May reset on process restart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ChromaDB persistent on VM disk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Auto-persist; scheduled re-embed on change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Knowledge Base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5 policy .txt files, embedded manually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Re-run embedding script on any change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Same 5 docs on VM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Automated re-embedding pipeline on change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Orchestration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LangChain AgentExecutor (ReAct)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Phases 2–9 (identical code)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LangChain AgentExecutor (ReAct)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Identical implementation — zero code delta</w:t>
            </w:r>
          </w:p>
        </w:tc>
      </w:tr>
      <w:tr>
        <w:tc>
          <w:tcPr>
            <w:tcW w:w="2200" w:type="dxa"/>
            <w:shd w:val="clear" w:color="auto" w:fill="F3EEF9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6A0DAD"/>
                <w:sz w:val="17"/>
              </w:rPr>
              <w:t>Tool Transport (MCP)</w:t>
            </w:r>
          </w:p>
        </w:tc>
        <w:tc>
          <w:tcPr>
            <w:tcW w:w="4300" w:type="dxa"/>
            <w:shd w:val="clear" w:color="auto" w:fill="F3EEF9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6A0DAD"/>
                <w:sz w:val="17"/>
              </w:rPr>
              <w:t>FastMCP v1.27 · loan_mcp/server.py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6A0DAD"/>
                <w:sz w:val="16"/>
              </w:rPr>
              <w:t>USE_MCP=true · stdio transport (local) · Claude Desktop compatible</w:t>
            </w:r>
          </w:p>
        </w:tc>
        <w:tc>
          <w:tcPr>
            <w:tcW w:w="4300" w:type="dxa"/>
            <w:shd w:val="clear" w:color="auto" w:fill="F3EEF9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6A0DAD"/>
                <w:sz w:val="17"/>
              </w:rPr>
              <w:t>Same FastMCP server · streamable-HTTP transport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6A0DAD"/>
                <w:sz w:val="16"/>
              </w:rPr>
              <w:t>Enables external agent access · Claude Code · bank API consumers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Memory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ConversationBufferWindowMemory (in-process)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Session dict in Python runtime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Same memory architecture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JSON logs + feedback + escalations on VM disk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Safety Gate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Keyword pre-filter + LLM intent classifier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Active from Phase 3; identical code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Identical implementation — non-negotiable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Same patterns + same LLM classifier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PII Masking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Regex masker on all log writes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Aadhaar · PAN · mobile · email — active Phase 3+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Same masker — non-negotiable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+ AWS S3 server-side encryption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Observability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Langfuse self-hosted via Docker Compose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Runs on developer machine (localhost)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Langfuse self-hosted on same t3.small VM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Docker Compose · all data on-premises · ₹0 extra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Log Storage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JSON files on local disk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Manual retention until dev clears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JSON logs → AWS S3 (~50 MB/month · ₹2/month)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90-day prototype  /  7-year production (RBI)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Evaluation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Langfuse dataset runs on Day 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Manual trigger by developer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Automated on each code push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Langfuse evaluation API + CI pipeline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Claude Code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Pro plan ($20/month)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Pro-rated 10-day build = ₹638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Max 5× plan ($100/month = ₹9,572/month)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For maintenance developer + support engineer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Monthly Cost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~₹49  (API only during prototype build)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Developer machine: ₹0 incremental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₹43,770/month total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LLM ₹879 + VM ₹1,607 + Staff ₹26,000 + Claude Max ₹9,572 + Contingency ₹5,709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Build Investment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₹2,40,687 one-time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Dev 10d ₹2,40,000 + API ₹49 + Claude Pro ₹638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N/A — ongoing from monthly budget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Build cost recovered in ~17 days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Business ROI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Proof-of-concept — not measured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Focus: system design + grading rubric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₹6.2L baseline → ₹1.4L/month post-AI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12-month ROI 2,235%  ·  Payback ~17 days</w:t>
            </w:r>
          </w:p>
        </w:tc>
      </w:tr>
      <w:tr>
        <w:tc>
          <w:tcPr>
            <w:tcW w:w="2200" w:type="dxa"/>
            <w:shd w:val="clear" w:color="auto" w:fill="F7F7F7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Data Residency</w:t>
            </w:r>
          </w:p>
        </w:tc>
        <w:tc>
          <w:tcPr>
            <w:tcW w:w="4300" w:type="dxa"/>
            <w:shd w:val="clear" w:color="auto" w:fill="EEF5FF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7"/>
              </w:rPr>
              <w:t>All data on developer machine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50"/>
                <w:sz w:val="16"/>
              </w:rPr>
              <w:t>No external data egress during build</w:t>
            </w:r>
          </w:p>
        </w:tc>
        <w:tc>
          <w:tcPr>
            <w:tcW w:w="4300" w:type="dxa"/>
            <w:shd w:val="clear" w:color="auto" w:fill="EDF9F0"/>
            <w:tcBorders>
              <w:top w:val="single" w:sz="4" w:color="909090" w:space="0"/>
              <w:left w:val="single" w:sz="4" w:color="909090" w:space="0"/>
              <w:bottom w:val="single" w:sz="4" w:color="909090" w:space="0"/>
              <w:right w:val="single" w:sz="4" w:color="909090" w:space="0"/>
            </w:tcBorders>
            <w:tcMar>
              <w:top w:w="70" w:type="dxa"/>
              <w:bottom w:w="70" w:type="dxa"/>
              <w:left w:w="130" w:type="dxa"/>
              <w:right w:w="13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7"/>
              </w:rPr>
              <w:t>All data on VM + S3 (same region)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D3020"/>
                <w:sz w:val="16"/>
              </w:rPr>
              <w:t>Langfuse traces on-premises · LangSmith excluded</w:t>
            </w:r>
          </w:p>
        </w:tc>
      </w:tr>
    </w:tbl>
    <w:p>
      <w:pPr>
        <w:spacing w:before="160" w:after="0"/>
      </w:pPr>
      <w:r>
        <w:rPr>
          <w:rFonts w:ascii="Arial" w:hAnsi="Arial"/>
          <w:b/>
          <w:i w:val="0"/>
          <w:color w:val="404040"/>
          <w:sz w:val="16"/>
        </w:rPr>
        <w:t xml:space="preserve">Note:  </w:t>
      </w:r>
      <w:r>
        <w:rPr>
          <w:rFonts w:ascii="Arial" w:hAnsi="Arial"/>
          <w:b w:val="0"/>
          <w:i/>
          <w:color w:val="505050"/>
          <w:sz w:val="16"/>
        </w:rPr>
        <w:t>Safety Gate (keyword pre-filter + LLM intent classifier) and PII masking are identical in prototype and production — these are non-negotiable implementation requirements. LangSmith excluded: cloud-only model incompatible with banking data residency. Arize Phoenix excluded: RAG evaluation fully covered by Langfuse LLM-as-judge on the same 20-question policy test set.</w:t>
      </w:r>
    </w:p>
    <w:sectPr w:rsidR="00FC693F" w:rsidRPr="0006063C" w:rsidSect="00034616">
      <w:pgSz w:w="12240" w:h="15840"/>
      <w:pgMar w:top="79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