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20"/>
      </w:pPr>
    </w:p>
    <w:p>
      <w:pPr>
        <w:spacing w:after="320"/>
        <w:jc w:val="center"/>
      </w:pPr>
      <w:r>
        <w:rPr>
          <w:rFonts w:ascii="Calibri" w:hAnsi="Calibri"/>
          <w:b/>
          <w:i w:val="0"/>
          <w:color w:val="0F766E"/>
          <w:sz w:val="20"/>
        </w:rPr>
        <w:t>APPLICATION FUNCTIONAL SPECIFICATION</w:t>
      </w:r>
    </w:p>
    <w:p>
      <w:pPr>
        <w:spacing w:after="160"/>
        <w:jc w:val="center"/>
      </w:pPr>
      <w:r>
        <w:rPr>
          <w:rFonts w:ascii="Calibri" w:hAnsi="Calibri"/>
          <w:b/>
          <w:i w:val="0"/>
          <w:color w:val="102A43"/>
          <w:sz w:val="62"/>
        </w:rPr>
        <w:t>ShadowTraceAI</w:t>
      </w:r>
    </w:p>
    <w:p>
      <w:pPr>
        <w:spacing w:after="360"/>
        <w:jc w:val="center"/>
      </w:pPr>
      <w:r>
        <w:rPr>
          <w:rFonts w:ascii="Calibri" w:hAnsi="Calibri"/>
          <w:b w:val="0"/>
          <w:i w:val="0"/>
          <w:color w:val="2E74B5"/>
          <w:sz w:val="32"/>
        </w:rPr>
        <w:t>AML Intelligence Copilot on Snowflake</w:t>
      </w:r>
    </w:p>
    <w:p>
      <w:pPr>
        <w:spacing w:after="1080"/>
        <w:jc w:val="center"/>
      </w:pPr>
      <w:r>
        <w:rPr>
          <w:rFonts w:ascii="Calibri" w:hAnsi="Calibri"/>
          <w:b w:val="0"/>
          <w:i/>
          <w:color w:val="627D98"/>
          <w:sz w:val="22"/>
        </w:rPr>
        <w:t>Detailed screen behavior, data contracts, decision workflow, controls, and acceptance criteria</w:t>
      </w:r>
    </w:p>
    <w:tbl>
      <w:tblPr>
        <w:tblW w:type="dxa" w:w="9360"/>
        <w:tblLayout w:type="fixed"/>
        <w:tblLook w:firstColumn="1" w:firstRow="1" w:lastColumn="0" w:lastRow="0" w:noHBand="0" w:noVBand="1" w:val="04A0"/>
        <w:jc w:val="left"/>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pPr>
            <w:r>
              <w:rPr>
                <w:rFonts w:ascii="Calibri" w:hAnsi="Calibri"/>
                <w:b/>
                <w:i w:val="0"/>
                <w:color w:val="102A43"/>
                <w:sz w:val="19"/>
              </w:rPr>
              <w:t>Document control</w:t>
            </w:r>
          </w:p>
        </w:tc>
        <w:tc>
          <w:tcPr>
            <w:tcW w:type="dxa" w:w="6660"/>
            <w:tcMar>
              <w:top w:w="80" w:type="dxa"/>
              <w:start w:w="120" w:type="dxa"/>
              <w:bottom w:w="80" w:type="dxa"/>
              <w:end w:w="120" w:type="dxa"/>
            </w:tcMar>
            <w:vAlign w:val="center"/>
            <w:shd w:fill="E8EEF5"/>
          </w:tcPr>
          <w:p>
            <w:pPr>
              <w:spacing w:after="0"/>
            </w:pPr>
            <w:r>
              <w:rPr>
                <w:rFonts w:ascii="Calibri" w:hAnsi="Calibri"/>
                <w:b/>
                <w:i w:val="0"/>
                <w:color w:val="102A43"/>
                <w:sz w:val="19"/>
              </w:rPr>
              <w:t>Value</w:t>
            </w:r>
          </w:p>
        </w:tc>
      </w:tr>
      <w:tr>
        <w:tc>
          <w:tcPr>
            <w:tcW w:type="dxa" w:w="2700"/>
            <w:tcMar>
              <w:top w:w="80" w:type="dxa"/>
              <w:start w:w="120" w:type="dxa"/>
              <w:bottom w:w="80" w:type="dxa"/>
              <w:end w:w="120" w:type="dxa"/>
            </w:tcMar>
            <w:vAlign w:val="center"/>
          </w:tcPr>
          <w:p>
            <w:pPr>
              <w:spacing w:after="0" w:line="264" w:lineRule="auto"/>
            </w:pPr>
            <w:r>
              <w:rPr>
                <w:rFonts w:ascii="Calibri" w:hAnsi="Calibri"/>
                <w:b w:val="0"/>
                <w:i w:val="0"/>
                <w:color w:val="243B53"/>
                <w:sz w:val="18"/>
              </w:rPr>
              <w:t>Document version</w:t>
            </w:r>
          </w:p>
        </w:tc>
        <w:tc>
          <w:tcPr>
            <w:tcW w:type="dxa" w:w="6660"/>
            <w:tcMar>
              <w:top w:w="80" w:type="dxa"/>
              <w:start w:w="120" w:type="dxa"/>
              <w:bottom w:w="80" w:type="dxa"/>
              <w:end w:w="120" w:type="dxa"/>
            </w:tcMar>
            <w:vAlign w:val="center"/>
          </w:tcPr>
          <w:p>
            <w:pPr>
              <w:spacing w:after="0" w:line="264" w:lineRule="auto"/>
            </w:pPr>
            <w:r>
              <w:rPr>
                <w:rFonts w:ascii="Calibri" w:hAnsi="Calibri"/>
                <w:b w:val="0"/>
                <w:i w:val="0"/>
                <w:color w:val="243B53"/>
                <w:sz w:val="18"/>
              </w:rPr>
              <w:t>1.0</w:t>
            </w:r>
          </w:p>
        </w:tc>
      </w:tr>
      <w:tr>
        <w:tc>
          <w:tcPr>
            <w:tcW w:type="dxa" w:w="2700"/>
            <w:tcMar>
              <w:top w:w="80" w:type="dxa"/>
              <w:start w:w="120" w:type="dxa"/>
              <w:bottom w:w="80" w:type="dxa"/>
              <w:end w:w="120" w:type="dxa"/>
            </w:tcMar>
            <w:vAlign w:val="center"/>
          </w:tcPr>
          <w:p>
            <w:pPr>
              <w:spacing w:after="0" w:line="264" w:lineRule="auto"/>
            </w:pPr>
            <w:r>
              <w:rPr>
                <w:rFonts w:ascii="Calibri" w:hAnsi="Calibri"/>
                <w:b w:val="0"/>
                <w:i w:val="0"/>
                <w:color w:val="243B53"/>
                <w:sz w:val="18"/>
              </w:rPr>
              <w:t>Status</w:t>
            </w:r>
          </w:p>
        </w:tc>
        <w:tc>
          <w:tcPr>
            <w:tcW w:type="dxa" w:w="6660"/>
            <w:tcMar>
              <w:top w:w="80" w:type="dxa"/>
              <w:start w:w="120" w:type="dxa"/>
              <w:bottom w:w="80" w:type="dxa"/>
              <w:end w:w="120" w:type="dxa"/>
            </w:tcMar>
            <w:vAlign w:val="center"/>
          </w:tcPr>
          <w:p>
            <w:pPr>
              <w:spacing w:after="0" w:line="264" w:lineRule="auto"/>
            </w:pPr>
            <w:r>
              <w:rPr>
                <w:rFonts w:ascii="Calibri" w:hAnsi="Calibri"/>
                <w:b w:val="0"/>
                <w:i w:val="0"/>
                <w:color w:val="243B53"/>
                <w:sz w:val="18"/>
              </w:rPr>
              <w:t>Deployed hackathon prototype</w:t>
            </w:r>
          </w:p>
        </w:tc>
      </w:tr>
      <w:tr>
        <w:tc>
          <w:tcPr>
            <w:tcW w:type="dxa" w:w="2700"/>
            <w:tcMar>
              <w:top w:w="80" w:type="dxa"/>
              <w:start w:w="120" w:type="dxa"/>
              <w:bottom w:w="80" w:type="dxa"/>
              <w:end w:w="120" w:type="dxa"/>
            </w:tcMar>
            <w:vAlign w:val="center"/>
          </w:tcPr>
          <w:p>
            <w:pPr>
              <w:spacing w:after="0" w:line="264" w:lineRule="auto"/>
            </w:pPr>
            <w:r>
              <w:rPr>
                <w:rFonts w:ascii="Calibri" w:hAnsi="Calibri"/>
                <w:b w:val="0"/>
                <w:i w:val="0"/>
                <w:color w:val="243B53"/>
                <w:sz w:val="18"/>
              </w:rPr>
              <w:t>Primary case</w:t>
            </w:r>
          </w:p>
        </w:tc>
        <w:tc>
          <w:tcPr>
            <w:tcW w:type="dxa" w:w="6660"/>
            <w:tcMar>
              <w:top w:w="80" w:type="dxa"/>
              <w:start w:w="120" w:type="dxa"/>
              <w:bottom w:w="80" w:type="dxa"/>
              <w:end w:w="120" w:type="dxa"/>
            </w:tcMar>
            <w:vAlign w:val="center"/>
          </w:tcPr>
          <w:p>
            <w:pPr>
              <w:spacing w:after="0" w:line="264" w:lineRule="auto"/>
            </w:pPr>
            <w:r>
              <w:rPr>
                <w:rFonts w:ascii="Calibri" w:hAnsi="Calibri"/>
                <w:b w:val="0"/>
                <w:i w:val="0"/>
                <w:color w:val="243B53"/>
                <w:sz w:val="18"/>
              </w:rPr>
              <w:t>CASE-C003 / ACC-C-003</w:t>
            </w:r>
          </w:p>
        </w:tc>
      </w:tr>
      <w:tr>
        <w:tc>
          <w:tcPr>
            <w:tcW w:type="dxa" w:w="2700"/>
            <w:tcMar>
              <w:top w:w="80" w:type="dxa"/>
              <w:start w:w="120" w:type="dxa"/>
              <w:bottom w:w="80" w:type="dxa"/>
              <w:end w:w="120" w:type="dxa"/>
            </w:tcMar>
            <w:vAlign w:val="center"/>
          </w:tcPr>
          <w:p>
            <w:pPr>
              <w:spacing w:after="0" w:line="264" w:lineRule="auto"/>
            </w:pPr>
            <w:r>
              <w:rPr>
                <w:rFonts w:ascii="Calibri" w:hAnsi="Calibri"/>
                <w:b w:val="0"/>
                <w:i w:val="0"/>
                <w:color w:val="243B53"/>
                <w:sz w:val="18"/>
              </w:rPr>
              <w:t>Audience</w:t>
            </w:r>
          </w:p>
        </w:tc>
        <w:tc>
          <w:tcPr>
            <w:tcW w:type="dxa" w:w="6660"/>
            <w:tcMar>
              <w:top w:w="80" w:type="dxa"/>
              <w:start w:w="120" w:type="dxa"/>
              <w:bottom w:w="80" w:type="dxa"/>
              <w:end w:w="120" w:type="dxa"/>
            </w:tcMar>
            <w:vAlign w:val="center"/>
          </w:tcPr>
          <w:p>
            <w:pPr>
              <w:spacing w:after="0" w:line="264" w:lineRule="auto"/>
            </w:pPr>
            <w:r>
              <w:rPr>
                <w:rFonts w:ascii="Calibri" w:hAnsi="Calibri"/>
                <w:b w:val="0"/>
                <w:i w:val="0"/>
                <w:color w:val="243B53"/>
                <w:sz w:val="18"/>
              </w:rPr>
              <w:t>AML investigators, reviewers, engineering teams, risk leaders, and judges</w:t>
            </w:r>
          </w:p>
        </w:tc>
      </w:tr>
      <w:tr>
        <w:tc>
          <w:tcPr>
            <w:tcW w:type="dxa" w:w="2700"/>
            <w:tcMar>
              <w:top w:w="80" w:type="dxa"/>
              <w:start w:w="120" w:type="dxa"/>
              <w:bottom w:w="80" w:type="dxa"/>
              <w:end w:w="120" w:type="dxa"/>
            </w:tcMar>
            <w:vAlign w:val="center"/>
          </w:tcPr>
          <w:p>
            <w:pPr>
              <w:spacing w:after="0" w:line="264" w:lineRule="auto"/>
            </w:pPr>
            <w:r>
              <w:rPr>
                <w:rFonts w:ascii="Calibri" w:hAnsi="Calibri"/>
                <w:b w:val="0"/>
                <w:i w:val="0"/>
                <w:color w:val="243B53"/>
                <w:sz w:val="18"/>
              </w:rPr>
              <w:t>Prepared</w:t>
            </w:r>
          </w:p>
        </w:tc>
        <w:tc>
          <w:tcPr>
            <w:tcW w:type="dxa" w:w="6660"/>
            <w:tcMar>
              <w:top w:w="80" w:type="dxa"/>
              <w:start w:w="120" w:type="dxa"/>
              <w:bottom w:w="80" w:type="dxa"/>
              <w:end w:w="120" w:type="dxa"/>
            </w:tcMar>
            <w:vAlign w:val="center"/>
          </w:tcPr>
          <w:p>
            <w:pPr>
              <w:spacing w:after="0" w:line="264" w:lineRule="auto"/>
            </w:pPr>
            <w:r>
              <w:rPr>
                <w:rFonts w:ascii="Calibri" w:hAnsi="Calibri"/>
                <w:b w:val="0"/>
                <w:i w:val="0"/>
                <w:color w:val="243B53"/>
                <w:sz w:val="18"/>
              </w:rPr>
              <w:t>18 August 2026</w:t>
            </w:r>
          </w:p>
        </w:tc>
      </w:tr>
    </w:tbl>
    <w:p>
      <w:pPr>
        <w:spacing w:after="40"/>
      </w:pPr>
    </w:p>
    <w:tbl>
      <w:tblPr>
        <w:tblW w:type="dxa" w:w="9360"/>
        <w:jc w:val="left"/>
        <w:tblLayout w:type="fixed"/>
        <w:tblLook w:firstColumn="1" w:firstRow="1" w:lastColumn="0" w:lastRow="0" w:noHBand="0" w:noVBand="1" w:val="04A0"/>
        <w:tblInd w:w="120" w:type="dxa"/>
        <w:tblBorders>
          <w:top w:val="single" w:sz="8" w:color="0F766E"/>
          <w:left w:val="single" w:sz="8" w:color="0F766E"/>
          <w:bottom w:val="single" w:sz="8" w:color="0F766E"/>
          <w:right w:val="single" w:sz="8" w:color="0F766E"/>
          <w:insideH w:val="single" w:sz="8" w:color="0F766E"/>
          <w:insideV w:val="single" w:sz="8" w:color="0F766E"/>
        </w:tblBorders>
      </w:tblPr>
      <w:tblGrid>
        <w:gridCol w:w="9360"/>
      </w:tblGrid>
      <w:tr>
        <w:tc>
          <w:tcPr>
            <w:tcW w:type="dxa" w:w="9360"/>
            <w:tcMar>
              <w:top w:w="80" w:type="dxa"/>
              <w:start w:w="120" w:type="dxa"/>
              <w:bottom w:w="80" w:type="dxa"/>
              <w:end w:w="120" w:type="dxa"/>
            </w:tcMar>
            <w:vAlign w:val="center"/>
            <w:shd w:fill="ECFDF8"/>
          </w:tcPr>
          <w:p>
            <w:pPr>
              <w:spacing w:after="0" w:line="288" w:lineRule="auto"/>
            </w:pPr>
            <w:r>
              <w:rPr>
                <w:rFonts w:ascii="Calibri" w:hAnsi="Calibri"/>
                <w:b/>
                <w:i w:val="0"/>
                <w:color w:val="0F766E"/>
                <w:sz w:val="22"/>
              </w:rPr>
              <w:t xml:space="preserve">Purpose: </w:t>
            </w:r>
            <w:r>
              <w:rPr>
                <w:rFonts w:ascii="Calibri" w:hAnsi="Calibri"/>
                <w:b w:val="0"/>
                <w:i w:val="0"/>
                <w:color w:val="243B53"/>
                <w:sz w:val="22"/>
              </w:rPr>
              <w:t>Explain exactly what the application does, what users see and do, which Snowflake objects supply each capability, and how a reviewer decision becomes an auditable case event.</w:t>
            </w:r>
          </w:p>
        </w:tc>
      </w:tr>
    </w:tbl>
    <w:p>
      <w:pPr>
        <w:spacing w:after="20"/>
      </w:pPr>
    </w:p>
    <w:p>
      <w:r>
        <w:br w:type="page"/>
      </w:r>
    </w:p>
    <w:p>
      <w:pPr>
        <w:pStyle w:val="Heading1"/>
        <w:keepNext/>
      </w:pPr>
      <w:r>
        <w:t>1. Executive overview</w:t>
      </w:r>
    </w:p>
    <w:p>
      <w:pPr>
        <w:spacing w:after="120" w:line="300" w:lineRule="auto"/>
      </w:pPr>
      <w:r>
        <w:rPr>
          <w:rFonts w:ascii="Calibri" w:hAnsi="Calibri"/>
          <w:b w:val="0"/>
          <w:i w:val="0"/>
          <w:color w:val="243B53"/>
          <w:sz w:val="22"/>
        </w:rPr>
        <w:t>ShadowTraceAI is a Snowflake-native investigation workspace for modern-slavery and human-trafficking AML alerts. It brings transaction behavior, customer and KYC context, device and IP access, external intelligence, document metadata, network relationships, explainable scoring, narrative evidence, reviewer decisions, and audit events into one governed application.</w:t>
      </w:r>
    </w:p>
    <w:p>
      <w:pPr>
        <w:spacing w:after="120" w:line="300" w:lineRule="auto"/>
      </w:pPr>
      <w:r>
        <w:rPr>
          <w:rFonts w:ascii="Calibri" w:hAnsi="Calibri"/>
          <w:b w:val="0"/>
          <w:i w:val="0"/>
          <w:color w:val="243B53"/>
          <w:sz w:val="22"/>
        </w:rPr>
        <w:t>The application is designed to support an investigator, not replace one. Detection and scoring are deterministic SQL. The intelligence brief is grounded in stored evidence. The recommended route guides review, while a named human must select and justify the final case decision.</w:t>
      </w:r>
    </w:p>
    <w:tbl>
      <w:tblPr>
        <w:tblW w:type="dxa" w:w="9360"/>
        <w:jc w:val="left"/>
        <w:tblLayout w:type="fixed"/>
        <w:tblLook w:firstColumn="1" w:firstRow="1" w:lastColumn="0" w:lastRow="0" w:noHBand="0" w:noVBand="1" w:val="04A0"/>
        <w:tblInd w:w="120" w:type="dxa"/>
        <w:tblBorders>
          <w:top w:val="single" w:sz="8" w:color="B42318"/>
          <w:left w:val="single" w:sz="8" w:color="B42318"/>
          <w:bottom w:val="single" w:sz="8" w:color="B42318"/>
          <w:right w:val="single" w:sz="8" w:color="B42318"/>
          <w:insideH w:val="single" w:sz="8" w:color="B42318"/>
          <w:insideV w:val="single" w:sz="8" w:color="B42318"/>
        </w:tblBorders>
      </w:tblPr>
      <w:tblGrid>
        <w:gridCol w:w="9360"/>
      </w:tblGrid>
      <w:tr>
        <w:tc>
          <w:tcPr>
            <w:tcW w:type="dxa" w:w="9360"/>
            <w:tcMar>
              <w:top w:w="80" w:type="dxa"/>
              <w:start w:w="120" w:type="dxa"/>
              <w:bottom w:w="80" w:type="dxa"/>
              <w:end w:w="120" w:type="dxa"/>
            </w:tcMar>
            <w:vAlign w:val="center"/>
            <w:shd w:fill="FFF3F2"/>
          </w:tcPr>
          <w:p>
            <w:pPr>
              <w:spacing w:after="0" w:line="288" w:lineRule="auto"/>
            </w:pPr>
            <w:r>
              <w:rPr>
                <w:rFonts w:ascii="Calibri" w:hAnsi="Calibri"/>
                <w:b/>
                <w:i w:val="0"/>
                <w:color w:val="B42318"/>
                <w:sz w:val="22"/>
              </w:rPr>
              <w:t xml:space="preserve">Deployed reference outcome: </w:t>
            </w:r>
            <w:r>
              <w:rPr>
                <w:rFonts w:ascii="Calibri" w:hAnsi="Calibri"/>
                <w:b w:val="0"/>
                <w:i w:val="0"/>
                <w:color w:val="243B53"/>
                <w:sz w:val="22"/>
              </w:rPr>
              <w:t>CASE-C003 scores 92/100, receives the CRITICAL band and STRONG evidence rating, detects five modern-slavery typologies, and recommends ESCALATE TO SAR for human assessment.</w:t>
            </w:r>
          </w:p>
        </w:tc>
      </w:tr>
    </w:tbl>
    <w:p>
      <w:pPr>
        <w:spacing w:after="20"/>
      </w:pPr>
    </w:p>
    <w:p>
      <w:pPr>
        <w:pStyle w:val="Heading2"/>
        <w:keepNext/>
      </w:pPr>
      <w:r>
        <w:t>1.1 Capability summary</w:t>
      </w:r>
    </w:p>
    <w:tbl>
      <w:tblPr>
        <w:tblW w:type="dxa" w:w="9360"/>
        <w:tblLayout w:type="fixed"/>
        <w:tblLook w:firstColumn="1" w:firstRow="1" w:lastColumn="0" w:lastRow="0" w:noHBand="0" w:noVBand="1" w:val="04A0"/>
        <w:jc w:val="left"/>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2200"/>
        <w:gridCol w:w="4800"/>
        <w:gridCol w:w="2360"/>
      </w:tblGrid>
      <w:tr>
        <w:trPr>
          <w:tblHeader w:val="true"/>
        </w:trPr>
        <w:tc>
          <w:tcPr>
            <w:tcW w:type="dxa" w:w="2200"/>
            <w:tcMar>
              <w:top w:w="80" w:type="dxa"/>
              <w:start w:w="120" w:type="dxa"/>
              <w:bottom w:w="80" w:type="dxa"/>
              <w:end w:w="120" w:type="dxa"/>
            </w:tcMar>
            <w:vAlign w:val="center"/>
            <w:shd w:fill="E8EEF5"/>
          </w:tcPr>
          <w:p>
            <w:pPr>
              <w:spacing w:after="0"/>
            </w:pPr>
            <w:r>
              <w:rPr>
                <w:rFonts w:ascii="Calibri" w:hAnsi="Calibri"/>
                <w:b/>
                <w:i w:val="0"/>
                <w:color w:val="102A43"/>
                <w:sz w:val="19"/>
              </w:rPr>
              <w:t>Capability</w:t>
            </w:r>
          </w:p>
        </w:tc>
        <w:tc>
          <w:tcPr>
            <w:tcW w:type="dxa" w:w="4800"/>
            <w:tcMar>
              <w:top w:w="80" w:type="dxa"/>
              <w:start w:w="120" w:type="dxa"/>
              <w:bottom w:w="80" w:type="dxa"/>
              <w:end w:w="120" w:type="dxa"/>
            </w:tcMar>
            <w:vAlign w:val="center"/>
            <w:shd w:fill="E8EEF5"/>
          </w:tcPr>
          <w:p>
            <w:pPr>
              <w:spacing w:after="0"/>
            </w:pPr>
            <w:r>
              <w:rPr>
                <w:rFonts w:ascii="Calibri" w:hAnsi="Calibri"/>
                <w:b/>
                <w:i w:val="0"/>
                <w:color w:val="102A43"/>
                <w:sz w:val="19"/>
              </w:rPr>
              <w:t>What it delivers</w:t>
            </w:r>
          </w:p>
        </w:tc>
        <w:tc>
          <w:tcPr>
            <w:tcW w:type="dxa" w:w="2360"/>
            <w:tcMar>
              <w:top w:w="80" w:type="dxa"/>
              <w:start w:w="120" w:type="dxa"/>
              <w:bottom w:w="80" w:type="dxa"/>
              <w:end w:w="120" w:type="dxa"/>
            </w:tcMar>
            <w:vAlign w:val="center"/>
            <w:shd w:fill="E8EEF5"/>
          </w:tcPr>
          <w:p>
            <w:pPr>
              <w:spacing w:after="0"/>
            </w:pPr>
            <w:r>
              <w:rPr>
                <w:rFonts w:ascii="Calibri" w:hAnsi="Calibri"/>
                <w:b/>
                <w:i w:val="0"/>
                <w:color w:val="102A43"/>
                <w:sz w:val="19"/>
              </w:rPr>
              <w:t>App area</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Case triage</w:t>
            </w:r>
          </w:p>
        </w:tc>
        <w:tc>
          <w:tcPr>
            <w:tcW w:type="dxa" w:w="4800"/>
            <w:tcMar>
              <w:top w:w="80" w:type="dxa"/>
              <w:start w:w="120" w:type="dxa"/>
              <w:bottom w:w="80" w:type="dxa"/>
              <w:end w:w="120" w:type="dxa"/>
            </w:tcMar>
            <w:vAlign w:val="center"/>
          </w:tcPr>
          <w:p>
            <w:pPr>
              <w:spacing w:after="0" w:line="264" w:lineRule="auto"/>
            </w:pPr>
            <w:r>
              <w:rPr>
                <w:rFonts w:ascii="Calibri" w:hAnsi="Calibri"/>
                <w:b w:val="0"/>
                <w:i w:val="0"/>
                <w:color w:val="243B53"/>
                <w:sz w:val="18"/>
              </w:rPr>
              <w:t>Prioritizes alerts by explainable risk score and evidence strength.</w:t>
            </w:r>
          </w:p>
        </w:tc>
        <w:tc>
          <w:tcPr>
            <w:tcW w:type="dxa" w:w="2360"/>
            <w:tcMar>
              <w:top w:w="80" w:type="dxa"/>
              <w:start w:w="120" w:type="dxa"/>
              <w:bottom w:w="80" w:type="dxa"/>
              <w:end w:w="120" w:type="dxa"/>
            </w:tcMar>
            <w:vAlign w:val="center"/>
          </w:tcPr>
          <w:p>
            <w:pPr>
              <w:spacing w:after="0" w:line="264" w:lineRule="auto"/>
            </w:pPr>
            <w:r>
              <w:rPr>
                <w:rFonts w:ascii="Calibri" w:hAnsi="Calibri"/>
                <w:b w:val="0"/>
                <w:i w:val="0"/>
                <w:color w:val="243B53"/>
                <w:sz w:val="18"/>
              </w:rPr>
              <w:t>Overview</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Typology detection</w:t>
            </w:r>
          </w:p>
        </w:tc>
        <w:tc>
          <w:tcPr>
            <w:tcW w:type="dxa" w:w="4800"/>
            <w:tcMar>
              <w:top w:w="80" w:type="dxa"/>
              <w:start w:w="120" w:type="dxa"/>
              <w:bottom w:w="80" w:type="dxa"/>
              <w:end w:w="120" w:type="dxa"/>
            </w:tcMar>
            <w:vAlign w:val="center"/>
          </w:tcPr>
          <w:p>
            <w:pPr>
              <w:spacing w:after="0" w:line="264" w:lineRule="auto"/>
            </w:pPr>
            <w:r>
              <w:rPr>
                <w:rFonts w:ascii="Calibri" w:hAnsi="Calibri"/>
                <w:b w:val="0"/>
                <w:i w:val="0"/>
                <w:color w:val="243B53"/>
                <w:sz w:val="18"/>
              </w:rPr>
              <w:t>Shows five modern-slavery indicators with point contributions and explanations.</w:t>
            </w:r>
          </w:p>
        </w:tc>
        <w:tc>
          <w:tcPr>
            <w:tcW w:type="dxa" w:w="2360"/>
            <w:tcMar>
              <w:top w:w="80" w:type="dxa"/>
              <w:start w:w="120" w:type="dxa"/>
              <w:bottom w:w="80" w:type="dxa"/>
              <w:end w:w="120" w:type="dxa"/>
            </w:tcMar>
            <w:vAlign w:val="center"/>
          </w:tcPr>
          <w:p>
            <w:pPr>
              <w:spacing w:after="0" w:line="264" w:lineRule="auto"/>
            </w:pPr>
            <w:r>
              <w:rPr>
                <w:rFonts w:ascii="Calibri" w:hAnsi="Calibri"/>
                <w:b w:val="0"/>
                <w:i w:val="0"/>
                <w:color w:val="243B53"/>
                <w:sz w:val="18"/>
              </w:rPr>
              <w:t>Typology Signals</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Network analysis</w:t>
            </w:r>
          </w:p>
        </w:tc>
        <w:tc>
          <w:tcPr>
            <w:tcW w:type="dxa" w:w="4800"/>
            <w:tcMar>
              <w:top w:w="80" w:type="dxa"/>
              <w:start w:w="120" w:type="dxa"/>
              <w:bottom w:w="80" w:type="dxa"/>
              <w:end w:w="120" w:type="dxa"/>
            </w:tcMar>
            <w:vAlign w:val="center"/>
          </w:tcPr>
          <w:p>
            <w:pPr>
              <w:spacing w:after="0" w:line="264" w:lineRule="auto"/>
            </w:pPr>
            <w:r>
              <w:rPr>
                <w:rFonts w:ascii="Calibri" w:hAnsi="Calibri"/>
                <w:b w:val="0"/>
                <w:i w:val="0"/>
                <w:color w:val="243B53"/>
                <w:sz w:val="18"/>
              </w:rPr>
              <w:t>Visualizes employer, worker, controller, funnel, cash-out, and shared-access relationships.</w:t>
            </w:r>
          </w:p>
        </w:tc>
        <w:tc>
          <w:tcPr>
            <w:tcW w:type="dxa" w:w="2360"/>
            <w:tcMar>
              <w:top w:w="80" w:type="dxa"/>
              <w:start w:w="120" w:type="dxa"/>
              <w:bottom w:w="80" w:type="dxa"/>
              <w:end w:w="120" w:type="dxa"/>
            </w:tcMar>
            <w:vAlign w:val="center"/>
          </w:tcPr>
          <w:p>
            <w:pPr>
              <w:spacing w:after="0" w:line="264" w:lineRule="auto"/>
            </w:pPr>
            <w:r>
              <w:rPr>
                <w:rFonts w:ascii="Calibri" w:hAnsi="Calibri"/>
                <w:b w:val="0"/>
                <w:i w:val="0"/>
                <w:color w:val="243B53"/>
                <w:sz w:val="18"/>
              </w:rPr>
              <w:t>Account Network</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Evidence review</w:t>
            </w:r>
          </w:p>
        </w:tc>
        <w:tc>
          <w:tcPr>
            <w:tcW w:type="dxa" w:w="4800"/>
            <w:tcMar>
              <w:top w:w="80" w:type="dxa"/>
              <w:start w:w="120" w:type="dxa"/>
              <w:bottom w:w="80" w:type="dxa"/>
              <w:end w:w="120" w:type="dxa"/>
            </w:tcMar>
            <w:vAlign w:val="center"/>
          </w:tcPr>
          <w:p>
            <w:pPr>
              <w:spacing w:after="0" w:line="264" w:lineRule="auto"/>
            </w:pPr>
            <w:r>
              <w:rPr>
                <w:rFonts w:ascii="Calibri" w:hAnsi="Calibri"/>
                <w:b w:val="0"/>
                <w:i w:val="0"/>
                <w:color w:val="243B53"/>
                <w:sz w:val="18"/>
              </w:rPr>
              <w:t>Combines documents, external intelligence, and relevant transactions.</w:t>
            </w:r>
          </w:p>
        </w:tc>
        <w:tc>
          <w:tcPr>
            <w:tcW w:type="dxa" w:w="2360"/>
            <w:tcMar>
              <w:top w:w="80" w:type="dxa"/>
              <w:start w:w="120" w:type="dxa"/>
              <w:bottom w:w="80" w:type="dxa"/>
              <w:end w:w="120" w:type="dxa"/>
            </w:tcMar>
            <w:vAlign w:val="center"/>
          </w:tcPr>
          <w:p>
            <w:pPr>
              <w:spacing w:after="0" w:line="264" w:lineRule="auto"/>
            </w:pPr>
            <w:r>
              <w:rPr>
                <w:rFonts w:ascii="Calibri" w:hAnsi="Calibri"/>
                <w:b w:val="0"/>
                <w:i w:val="0"/>
                <w:color w:val="243B53"/>
                <w:sz w:val="18"/>
              </w:rPr>
              <w:t>Evidence</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Explainable scoring</w:t>
            </w:r>
          </w:p>
        </w:tc>
        <w:tc>
          <w:tcPr>
            <w:tcW w:type="dxa" w:w="4800"/>
            <w:tcMar>
              <w:top w:w="80" w:type="dxa"/>
              <w:start w:w="120" w:type="dxa"/>
              <w:bottom w:w="80" w:type="dxa"/>
              <w:end w:w="120" w:type="dxa"/>
            </w:tcMar>
            <w:vAlign w:val="center"/>
          </w:tcPr>
          <w:p>
            <w:pPr>
              <w:spacing w:after="0" w:line="264" w:lineRule="auto"/>
            </w:pPr>
            <w:r>
              <w:rPr>
                <w:rFonts w:ascii="Calibri" w:hAnsi="Calibri"/>
                <w:b w:val="0"/>
                <w:i w:val="0"/>
                <w:color w:val="243B53"/>
                <w:sz w:val="18"/>
              </w:rPr>
              <w:t>Breaks the 0-100 score into seven queryable components.</w:t>
            </w:r>
          </w:p>
        </w:tc>
        <w:tc>
          <w:tcPr>
            <w:tcW w:type="dxa" w:w="2360"/>
            <w:tcMar>
              <w:top w:w="80" w:type="dxa"/>
              <w:start w:w="120" w:type="dxa"/>
              <w:bottom w:w="80" w:type="dxa"/>
              <w:end w:w="120" w:type="dxa"/>
            </w:tcMar>
            <w:vAlign w:val="center"/>
          </w:tcPr>
          <w:p>
            <w:pPr>
              <w:spacing w:after="0" w:line="264" w:lineRule="auto"/>
            </w:pPr>
            <w:r>
              <w:rPr>
                <w:rFonts w:ascii="Calibri" w:hAnsi="Calibri"/>
                <w:b w:val="0"/>
                <w:i w:val="0"/>
                <w:color w:val="243B53"/>
                <w:sz w:val="18"/>
              </w:rPr>
              <w:t>Risk Score</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Investigation narrative</w:t>
            </w:r>
          </w:p>
        </w:tc>
        <w:tc>
          <w:tcPr>
            <w:tcW w:type="dxa" w:w="4800"/>
            <w:tcMar>
              <w:top w:w="80" w:type="dxa"/>
              <w:start w:w="120" w:type="dxa"/>
              <w:bottom w:w="80" w:type="dxa"/>
              <w:end w:w="120" w:type="dxa"/>
            </w:tcMar>
            <w:vAlign w:val="center"/>
          </w:tcPr>
          <w:p>
            <w:pPr>
              <w:spacing w:after="0" w:line="264" w:lineRule="auto"/>
            </w:pPr>
            <w:r>
              <w:rPr>
                <w:rFonts w:ascii="Calibri" w:hAnsi="Calibri"/>
                <w:b w:val="0"/>
                <w:i w:val="0"/>
                <w:color w:val="243B53"/>
                <w:sz w:val="18"/>
              </w:rPr>
              <w:t>Presents an evidence-grounded executive summary, hypothesis, gaps, and action.</w:t>
            </w:r>
          </w:p>
        </w:tc>
        <w:tc>
          <w:tcPr>
            <w:tcW w:type="dxa" w:w="2360"/>
            <w:tcMar>
              <w:top w:w="80" w:type="dxa"/>
              <w:start w:w="120" w:type="dxa"/>
              <w:bottom w:w="80" w:type="dxa"/>
              <w:end w:w="120" w:type="dxa"/>
            </w:tcMar>
            <w:vAlign w:val="center"/>
          </w:tcPr>
          <w:p>
            <w:pPr>
              <w:spacing w:after="0" w:line="264" w:lineRule="auto"/>
            </w:pPr>
            <w:r>
              <w:rPr>
                <w:rFonts w:ascii="Calibri" w:hAnsi="Calibri"/>
                <w:b w:val="0"/>
                <w:i w:val="0"/>
                <w:color w:val="243B53"/>
                <w:sz w:val="18"/>
              </w:rPr>
              <w:t>Case Intelligence Brief</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Human decision</w:t>
            </w:r>
          </w:p>
        </w:tc>
        <w:tc>
          <w:tcPr>
            <w:tcW w:type="dxa" w:w="4800"/>
            <w:tcMar>
              <w:top w:w="80" w:type="dxa"/>
              <w:start w:w="120" w:type="dxa"/>
              <w:bottom w:w="80" w:type="dxa"/>
              <w:end w:w="120" w:type="dxa"/>
            </w:tcMar>
            <w:vAlign w:val="center"/>
          </w:tcPr>
          <w:p>
            <w:pPr>
              <w:spacing w:after="0" w:line="264" w:lineRule="auto"/>
            </w:pPr>
            <w:r>
              <w:rPr>
                <w:rFonts w:ascii="Calibri" w:hAnsi="Calibri"/>
                <w:b w:val="0"/>
                <w:i w:val="0"/>
                <w:color w:val="243B53"/>
                <w:sz w:val="18"/>
              </w:rPr>
              <w:t>Validates and records one of four authorized reviewer outcomes.</w:t>
            </w:r>
          </w:p>
        </w:tc>
        <w:tc>
          <w:tcPr>
            <w:tcW w:type="dxa" w:w="2360"/>
            <w:tcMar>
              <w:top w:w="80" w:type="dxa"/>
              <w:start w:w="120" w:type="dxa"/>
              <w:bottom w:w="80" w:type="dxa"/>
              <w:end w:w="120" w:type="dxa"/>
            </w:tcMar>
            <w:vAlign w:val="center"/>
          </w:tcPr>
          <w:p>
            <w:pPr>
              <w:spacing w:after="0" w:line="264" w:lineRule="auto"/>
            </w:pPr>
            <w:r>
              <w:rPr>
                <w:rFonts w:ascii="Calibri" w:hAnsi="Calibri"/>
                <w:b w:val="0"/>
                <w:i w:val="0"/>
                <w:color w:val="243B53"/>
                <w:sz w:val="18"/>
              </w:rPr>
              <w:t>Reviewer Decision</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Audit readiness</w:t>
            </w:r>
          </w:p>
        </w:tc>
        <w:tc>
          <w:tcPr>
            <w:tcW w:type="dxa" w:w="4800"/>
            <w:tcMar>
              <w:top w:w="80" w:type="dxa"/>
              <w:start w:w="120" w:type="dxa"/>
              <w:bottom w:w="80" w:type="dxa"/>
              <w:end w:w="120" w:type="dxa"/>
            </w:tcMar>
            <w:vAlign w:val="center"/>
          </w:tcPr>
          <w:p>
            <w:pPr>
              <w:spacing w:after="0" w:line="264" w:lineRule="auto"/>
            </w:pPr>
            <w:r>
              <w:rPr>
                <w:rFonts w:ascii="Calibri" w:hAnsi="Calibri"/>
                <w:b w:val="0"/>
                <w:i w:val="0"/>
                <w:color w:val="243B53"/>
                <w:sz w:val="18"/>
              </w:rPr>
              <w:t>Shows system and human events and exports the case timeline to CSV.</w:t>
            </w:r>
          </w:p>
        </w:tc>
        <w:tc>
          <w:tcPr>
            <w:tcW w:type="dxa" w:w="2360"/>
            <w:tcMar>
              <w:top w:w="80" w:type="dxa"/>
              <w:start w:w="120" w:type="dxa"/>
              <w:bottom w:w="80" w:type="dxa"/>
              <w:end w:w="120" w:type="dxa"/>
            </w:tcMar>
            <w:vAlign w:val="center"/>
          </w:tcPr>
          <w:p>
            <w:pPr>
              <w:spacing w:after="0" w:line="264" w:lineRule="auto"/>
            </w:pPr>
            <w:r>
              <w:rPr>
                <w:rFonts w:ascii="Calibri" w:hAnsi="Calibri"/>
                <w:b w:val="0"/>
                <w:i w:val="0"/>
                <w:color w:val="243B53"/>
                <w:sz w:val="18"/>
              </w:rPr>
              <w:t>Audit Trail</w:t>
            </w:r>
          </w:p>
        </w:tc>
      </w:tr>
    </w:tbl>
    <w:p>
      <w:pPr>
        <w:spacing w:after="40"/>
      </w:pPr>
    </w:p>
    <w:p>
      <w:pPr>
        <w:pStyle w:val="Heading2"/>
        <w:keepNext/>
      </w:pPr>
      <w:r>
        <w:t>1.2 Contents</w:t>
      </w:r>
    </w:p>
    <w:p>
      <w:pPr>
        <w:numPr>
          <w:ilvl w:val="0"/>
          <w:numId w:val="10"/>
        </w:numPr>
        <w:spacing w:after="80" w:line="300" w:lineRule="auto"/>
      </w:pPr>
      <w:r>
        <w:rPr>
          <w:rFonts w:ascii="Calibri" w:hAnsi="Calibri"/>
          <w:b w:val="0"/>
          <w:i w:val="0"/>
          <w:color w:val="243B53"/>
          <w:sz w:val="22"/>
        </w:rPr>
        <w:t>Product scope, users, and operating principles</w:t>
      </w:r>
    </w:p>
    <w:p>
      <w:pPr>
        <w:numPr>
          <w:ilvl w:val="0"/>
          <w:numId w:val="10"/>
        </w:numPr>
        <w:spacing w:after="80" w:line="300" w:lineRule="auto"/>
      </w:pPr>
      <w:r>
        <w:rPr>
          <w:rFonts w:ascii="Calibri" w:hAnsi="Calibri"/>
          <w:b w:val="0"/>
          <w:i w:val="0"/>
          <w:color w:val="243B53"/>
          <w:sz w:val="22"/>
        </w:rPr>
        <w:t>End-to-end case journey and navigation model</w:t>
      </w:r>
    </w:p>
    <w:p>
      <w:pPr>
        <w:numPr>
          <w:ilvl w:val="0"/>
          <w:numId w:val="10"/>
        </w:numPr>
        <w:spacing w:after="80" w:line="300" w:lineRule="auto"/>
      </w:pPr>
      <w:r>
        <w:rPr>
          <w:rFonts w:ascii="Calibri" w:hAnsi="Calibri"/>
          <w:b w:val="0"/>
          <w:i w:val="0"/>
          <w:color w:val="243B53"/>
          <w:sz w:val="22"/>
        </w:rPr>
        <w:t>Detailed functionality for all eight application tabs</w:t>
      </w:r>
    </w:p>
    <w:p>
      <w:pPr>
        <w:numPr>
          <w:ilvl w:val="0"/>
          <w:numId w:val="10"/>
        </w:numPr>
        <w:spacing w:after="80" w:line="300" w:lineRule="auto"/>
      </w:pPr>
      <w:r>
        <w:rPr>
          <w:rFonts w:ascii="Calibri" w:hAnsi="Calibri"/>
          <w:b w:val="0"/>
          <w:i w:val="0"/>
          <w:color w:val="243B53"/>
          <w:sz w:val="22"/>
        </w:rPr>
        <w:t>Cross-cutting behavior, data contracts, and error handling</w:t>
      </w:r>
    </w:p>
    <w:p>
      <w:pPr>
        <w:numPr>
          <w:ilvl w:val="0"/>
          <w:numId w:val="10"/>
        </w:numPr>
        <w:spacing w:after="80" w:line="300" w:lineRule="auto"/>
      </w:pPr>
      <w:r>
        <w:rPr>
          <w:rFonts w:ascii="Calibri" w:hAnsi="Calibri"/>
          <w:b w:val="0"/>
          <w:i w:val="0"/>
          <w:color w:val="243B53"/>
          <w:sz w:val="22"/>
        </w:rPr>
        <w:t>Security, human oversight, and audit controls</w:t>
      </w:r>
    </w:p>
    <w:p>
      <w:pPr>
        <w:numPr>
          <w:ilvl w:val="0"/>
          <w:numId w:val="10"/>
        </w:numPr>
        <w:spacing w:after="80" w:line="300" w:lineRule="auto"/>
      </w:pPr>
      <w:r>
        <w:rPr>
          <w:rFonts w:ascii="Calibri" w:hAnsi="Calibri"/>
          <w:b w:val="0"/>
          <w:i w:val="0"/>
          <w:color w:val="243B53"/>
          <w:sz w:val="22"/>
        </w:rPr>
        <w:t>Functional acceptance criteria and known limitations</w:t>
      </w:r>
    </w:p>
    <w:p>
      <w:pPr>
        <w:numPr>
          <w:ilvl w:val="0"/>
          <w:numId w:val="10"/>
        </w:numPr>
        <w:spacing w:after="80" w:line="300" w:lineRule="auto"/>
      </w:pPr>
      <w:r>
        <w:rPr>
          <w:rFonts w:ascii="Calibri" w:hAnsi="Calibri"/>
          <w:b w:val="0"/>
          <w:i w:val="0"/>
          <w:color w:val="243B53"/>
          <w:sz w:val="22"/>
        </w:rPr>
        <w:t>Appendix: CASE-C003 reference walkthrough and glossary</w:t>
      </w:r>
    </w:p>
    <w:p>
      <w:pPr>
        <w:pStyle w:val="Heading1"/>
        <w:keepNext/>
      </w:pPr>
      <w:r>
        <w:t>2. Product scope and users</w:t>
      </w:r>
    </w:p>
    <w:p>
      <w:pPr>
        <w:pStyle w:val="Heading2"/>
        <w:keepNext/>
      </w:pPr>
      <w:r>
        <w:t>2.1 In-scope functionality</w:t>
      </w:r>
    </w:p>
    <w:p>
      <w:pPr>
        <w:numPr>
          <w:ilvl w:val="0"/>
          <w:numId w:val="10"/>
        </w:numPr>
        <w:spacing w:after="80" w:line="300" w:lineRule="auto"/>
      </w:pPr>
      <w:r>
        <w:rPr>
          <w:rFonts w:ascii="Calibri" w:hAnsi="Calibri"/>
          <w:b w:val="0"/>
          <w:i w:val="0"/>
          <w:color w:val="243B53"/>
          <w:sz w:val="22"/>
        </w:rPr>
        <w:t>Read Snowflake-hosted alerts and supporting data for synthetic AML cases.</w:t>
      </w:r>
    </w:p>
    <w:p>
      <w:pPr>
        <w:numPr>
          <w:ilvl w:val="0"/>
          <w:numId w:val="10"/>
        </w:numPr>
        <w:spacing w:after="80" w:line="300" w:lineRule="auto"/>
      </w:pPr>
      <w:r>
        <w:rPr>
          <w:rFonts w:ascii="Calibri" w:hAnsi="Calibri"/>
          <w:b w:val="0"/>
          <w:i w:val="0"/>
          <w:color w:val="243B53"/>
          <w:sz w:val="22"/>
        </w:rPr>
        <w:t>Detect wage harvesting, account control, spending anomaly, geographic risk, and sector risk.</w:t>
      </w:r>
    </w:p>
    <w:p>
      <w:pPr>
        <w:numPr>
          <w:ilvl w:val="0"/>
          <w:numId w:val="10"/>
        </w:numPr>
        <w:spacing w:after="80" w:line="300" w:lineRule="auto"/>
      </w:pPr>
      <w:r>
        <w:rPr>
          <w:rFonts w:ascii="Calibri" w:hAnsi="Calibri"/>
          <w:b w:val="0"/>
          <w:i w:val="0"/>
          <w:color w:val="243B53"/>
          <w:sz w:val="22"/>
        </w:rPr>
        <w:t>Build a case-centric account network from payroll, onward transfers, cash-outs, and shared access.</w:t>
      </w:r>
    </w:p>
    <w:p>
      <w:pPr>
        <w:numPr>
          <w:ilvl w:val="0"/>
          <w:numId w:val="10"/>
        </w:numPr>
        <w:spacing w:after="80" w:line="300" w:lineRule="auto"/>
      </w:pPr>
      <w:r>
        <w:rPr>
          <w:rFonts w:ascii="Calibri" w:hAnsi="Calibri"/>
          <w:b w:val="0"/>
          <w:i w:val="0"/>
          <w:color w:val="243B53"/>
          <w:sz w:val="22"/>
        </w:rPr>
        <w:t>Calculate a deterministic risk score, band, evidence strength, risk factors, and route.</w:t>
      </w:r>
    </w:p>
    <w:p>
      <w:pPr>
        <w:numPr>
          <w:ilvl w:val="0"/>
          <w:numId w:val="10"/>
        </w:numPr>
        <w:spacing w:after="80" w:line="300" w:lineRule="auto"/>
      </w:pPr>
      <w:r>
        <w:rPr>
          <w:rFonts w:ascii="Calibri" w:hAnsi="Calibri"/>
          <w:b w:val="0"/>
          <w:i w:val="0"/>
          <w:color w:val="243B53"/>
          <w:sz w:val="22"/>
        </w:rPr>
        <w:t>Generate a deterministic case intelligence brief and expose a bounded prompt for optional Cortex use.</w:t>
      </w:r>
    </w:p>
    <w:p>
      <w:pPr>
        <w:numPr>
          <w:ilvl w:val="0"/>
          <w:numId w:val="10"/>
        </w:numPr>
        <w:spacing w:after="80" w:line="300" w:lineRule="auto"/>
      </w:pPr>
      <w:r>
        <w:rPr>
          <w:rFonts w:ascii="Calibri" w:hAnsi="Calibri"/>
          <w:b w:val="0"/>
          <w:i w:val="0"/>
          <w:color w:val="243B53"/>
          <w:sz w:val="22"/>
        </w:rPr>
        <w:t>Capture a named reviewer decision, rationale, updated alert status, and linked audit event.</w:t>
      </w:r>
    </w:p>
    <w:p>
      <w:pPr>
        <w:numPr>
          <w:ilvl w:val="0"/>
          <w:numId w:val="10"/>
        </w:numPr>
        <w:spacing w:after="80" w:line="300" w:lineRule="auto"/>
      </w:pPr>
      <w:r>
        <w:rPr>
          <w:rFonts w:ascii="Calibri" w:hAnsi="Calibri"/>
          <w:b w:val="0"/>
          <w:i w:val="0"/>
          <w:color w:val="243B53"/>
          <w:sz w:val="22"/>
        </w:rPr>
        <w:t>Export the audit trail for demonstration and downstream review.</w:t>
      </w:r>
    </w:p>
    <w:p>
      <w:pPr>
        <w:pStyle w:val="Heading2"/>
        <w:keepNext/>
      </w:pPr>
      <w:r>
        <w:t>2.2 Primary user roles</w:t>
      </w:r>
    </w:p>
    <w:tbl>
      <w:tblPr>
        <w:tblW w:type="dxa" w:w="9360"/>
        <w:tblLayout w:type="fixed"/>
        <w:tblLook w:firstColumn="1" w:firstRow="1" w:lastColumn="0" w:lastRow="0" w:noHBand="0" w:noVBand="1" w:val="04A0"/>
        <w:jc w:val="left"/>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1900"/>
        <w:gridCol w:w="3500"/>
        <w:gridCol w:w="3960"/>
      </w:tblGrid>
      <w:tr>
        <w:trPr>
          <w:tblHeader w:val="true"/>
        </w:trPr>
        <w:tc>
          <w:tcPr>
            <w:tcW w:type="dxa" w:w="1900"/>
            <w:tcMar>
              <w:top w:w="80" w:type="dxa"/>
              <w:start w:w="120" w:type="dxa"/>
              <w:bottom w:w="80" w:type="dxa"/>
              <w:end w:w="120" w:type="dxa"/>
            </w:tcMar>
            <w:vAlign w:val="center"/>
            <w:shd w:fill="E8EEF5"/>
          </w:tcPr>
          <w:p>
            <w:pPr>
              <w:spacing w:after="0"/>
            </w:pPr>
            <w:r>
              <w:rPr>
                <w:rFonts w:ascii="Calibri" w:hAnsi="Calibri"/>
                <w:b/>
                <w:i w:val="0"/>
                <w:color w:val="102A43"/>
                <w:sz w:val="19"/>
              </w:rPr>
              <w:t>Role</w:t>
            </w:r>
          </w:p>
        </w:tc>
        <w:tc>
          <w:tcPr>
            <w:tcW w:type="dxa" w:w="3500"/>
            <w:tcMar>
              <w:top w:w="80" w:type="dxa"/>
              <w:start w:w="120" w:type="dxa"/>
              <w:bottom w:w="80" w:type="dxa"/>
              <w:end w:w="120" w:type="dxa"/>
            </w:tcMar>
            <w:vAlign w:val="center"/>
            <w:shd w:fill="E8EEF5"/>
          </w:tcPr>
          <w:p>
            <w:pPr>
              <w:spacing w:after="0"/>
            </w:pPr>
            <w:r>
              <w:rPr>
                <w:rFonts w:ascii="Calibri" w:hAnsi="Calibri"/>
                <w:b/>
                <w:i w:val="0"/>
                <w:color w:val="102A43"/>
                <w:sz w:val="19"/>
              </w:rPr>
              <w:t>Primary objective</w:t>
            </w:r>
          </w:p>
        </w:tc>
        <w:tc>
          <w:tcPr>
            <w:tcW w:type="dxa" w:w="3960"/>
            <w:tcMar>
              <w:top w:w="80" w:type="dxa"/>
              <w:start w:w="120" w:type="dxa"/>
              <w:bottom w:w="80" w:type="dxa"/>
              <w:end w:w="120" w:type="dxa"/>
            </w:tcMar>
            <w:vAlign w:val="center"/>
            <w:shd w:fill="E8EEF5"/>
          </w:tcPr>
          <w:p>
            <w:pPr>
              <w:spacing w:after="0"/>
            </w:pPr>
            <w:r>
              <w:rPr>
                <w:rFonts w:ascii="Calibri" w:hAnsi="Calibri"/>
                <w:b/>
                <w:i w:val="0"/>
                <w:color w:val="102A43"/>
                <w:sz w:val="19"/>
              </w:rPr>
              <w:t>Typical activity</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243B53"/>
                <w:sz w:val="18"/>
              </w:rPr>
              <w:t>AML investigator</w:t>
            </w:r>
          </w:p>
        </w:tc>
        <w:tc>
          <w:tcPr>
            <w:tcW w:type="dxa" w:w="3500"/>
            <w:tcMar>
              <w:top w:w="80" w:type="dxa"/>
              <w:start w:w="120" w:type="dxa"/>
              <w:bottom w:w="80" w:type="dxa"/>
              <w:end w:w="120" w:type="dxa"/>
            </w:tcMar>
            <w:vAlign w:val="center"/>
          </w:tcPr>
          <w:p>
            <w:pPr>
              <w:spacing w:after="0" w:line="264" w:lineRule="auto"/>
            </w:pPr>
            <w:r>
              <w:rPr>
                <w:rFonts w:ascii="Calibri" w:hAnsi="Calibri"/>
                <w:b w:val="0"/>
                <w:i w:val="0"/>
                <w:color w:val="243B53"/>
                <w:sz w:val="18"/>
              </w:rPr>
              <w:t>Understand why a case is suspicious.</w:t>
            </w:r>
          </w:p>
        </w:tc>
        <w:tc>
          <w:tcPr>
            <w:tcW w:type="dxa" w:w="3960"/>
            <w:tcMar>
              <w:top w:w="80" w:type="dxa"/>
              <w:start w:w="120" w:type="dxa"/>
              <w:bottom w:w="80" w:type="dxa"/>
              <w:end w:w="120" w:type="dxa"/>
            </w:tcMar>
            <w:vAlign w:val="center"/>
          </w:tcPr>
          <w:p>
            <w:pPr>
              <w:spacing w:after="0" w:line="264" w:lineRule="auto"/>
            </w:pPr>
            <w:r>
              <w:rPr>
                <w:rFonts w:ascii="Calibri" w:hAnsi="Calibri"/>
                <w:b w:val="0"/>
                <w:i w:val="0"/>
                <w:color w:val="243B53"/>
                <w:sz w:val="18"/>
              </w:rPr>
              <w:t>Review signals, network, evidence, score, and brief.</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243B53"/>
                <w:sz w:val="18"/>
              </w:rPr>
              <w:t>AML reviewer</w:t>
            </w:r>
          </w:p>
        </w:tc>
        <w:tc>
          <w:tcPr>
            <w:tcW w:type="dxa" w:w="3500"/>
            <w:tcMar>
              <w:top w:w="80" w:type="dxa"/>
              <w:start w:w="120" w:type="dxa"/>
              <w:bottom w:w="80" w:type="dxa"/>
              <w:end w:w="120" w:type="dxa"/>
            </w:tcMar>
            <w:vAlign w:val="center"/>
          </w:tcPr>
          <w:p>
            <w:pPr>
              <w:spacing w:after="0" w:line="264" w:lineRule="auto"/>
            </w:pPr>
            <w:r>
              <w:rPr>
                <w:rFonts w:ascii="Calibri" w:hAnsi="Calibri"/>
                <w:b w:val="0"/>
                <w:i w:val="0"/>
                <w:color w:val="243B53"/>
                <w:sz w:val="18"/>
              </w:rPr>
              <w:t>Make and justify the controlled case decision.</w:t>
            </w:r>
          </w:p>
        </w:tc>
        <w:tc>
          <w:tcPr>
            <w:tcW w:type="dxa" w:w="3960"/>
            <w:tcMar>
              <w:top w:w="80" w:type="dxa"/>
              <w:start w:w="120" w:type="dxa"/>
              <w:bottom w:w="80" w:type="dxa"/>
              <w:end w:w="120" w:type="dxa"/>
            </w:tcMar>
            <w:vAlign w:val="center"/>
          </w:tcPr>
          <w:p>
            <w:pPr>
              <w:spacing w:after="0" w:line="264" w:lineRule="auto"/>
            </w:pPr>
            <w:r>
              <w:rPr>
                <w:rFonts w:ascii="Calibri" w:hAnsi="Calibri"/>
                <w:b w:val="0"/>
                <w:i w:val="0"/>
                <w:color w:val="243B53"/>
                <w:sz w:val="18"/>
              </w:rPr>
              <w:t>Validate evidence and record one authorized outcome.</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243B53"/>
                <w:sz w:val="18"/>
              </w:rPr>
              <w:t>Team lead / QA</w:t>
            </w:r>
          </w:p>
        </w:tc>
        <w:tc>
          <w:tcPr>
            <w:tcW w:type="dxa" w:w="3500"/>
            <w:tcMar>
              <w:top w:w="80" w:type="dxa"/>
              <w:start w:w="120" w:type="dxa"/>
              <w:bottom w:w="80" w:type="dxa"/>
              <w:end w:w="120" w:type="dxa"/>
            </w:tcMar>
            <w:vAlign w:val="center"/>
          </w:tcPr>
          <w:p>
            <w:pPr>
              <w:spacing w:after="0" w:line="264" w:lineRule="auto"/>
            </w:pPr>
            <w:r>
              <w:rPr>
                <w:rFonts w:ascii="Calibri" w:hAnsi="Calibri"/>
                <w:b w:val="0"/>
                <w:i w:val="0"/>
                <w:color w:val="243B53"/>
                <w:sz w:val="18"/>
              </w:rPr>
              <w:t>Assess consistency and decision quality.</w:t>
            </w:r>
          </w:p>
        </w:tc>
        <w:tc>
          <w:tcPr>
            <w:tcW w:type="dxa" w:w="3960"/>
            <w:tcMar>
              <w:top w:w="80" w:type="dxa"/>
              <w:start w:w="120" w:type="dxa"/>
              <w:bottom w:w="80" w:type="dxa"/>
              <w:end w:w="120" w:type="dxa"/>
            </w:tcMar>
            <w:vAlign w:val="center"/>
          </w:tcPr>
          <w:p>
            <w:pPr>
              <w:spacing w:after="0" w:line="264" w:lineRule="auto"/>
            </w:pPr>
            <w:r>
              <w:rPr>
                <w:rFonts w:ascii="Calibri" w:hAnsi="Calibri"/>
                <w:b w:val="0"/>
                <w:i w:val="0"/>
                <w:color w:val="243B53"/>
                <w:sz w:val="18"/>
              </w:rPr>
              <w:t>Review scoring rationale, decisions, and audit history.</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243B53"/>
                <w:sz w:val="18"/>
              </w:rPr>
              <w:t>Data / analytics engineer</w:t>
            </w:r>
          </w:p>
        </w:tc>
        <w:tc>
          <w:tcPr>
            <w:tcW w:type="dxa" w:w="3500"/>
            <w:tcMar>
              <w:top w:w="80" w:type="dxa"/>
              <w:start w:w="120" w:type="dxa"/>
              <w:bottom w:w="80" w:type="dxa"/>
              <w:end w:w="120" w:type="dxa"/>
            </w:tcMar>
            <w:vAlign w:val="center"/>
          </w:tcPr>
          <w:p>
            <w:pPr>
              <w:spacing w:after="0" w:line="264" w:lineRule="auto"/>
            </w:pPr>
            <w:r>
              <w:rPr>
                <w:rFonts w:ascii="Calibri" w:hAnsi="Calibri"/>
                <w:b w:val="0"/>
                <w:i w:val="0"/>
                <w:color w:val="243B53"/>
                <w:sz w:val="18"/>
              </w:rPr>
              <w:t>Maintain governed detection logic.</w:t>
            </w:r>
          </w:p>
        </w:tc>
        <w:tc>
          <w:tcPr>
            <w:tcW w:type="dxa" w:w="3960"/>
            <w:tcMar>
              <w:top w:w="80" w:type="dxa"/>
              <w:start w:w="120" w:type="dxa"/>
              <w:bottom w:w="80" w:type="dxa"/>
              <w:end w:w="120" w:type="dxa"/>
            </w:tcMar>
            <w:vAlign w:val="center"/>
          </w:tcPr>
          <w:p>
            <w:pPr>
              <w:spacing w:after="0" w:line="264" w:lineRule="auto"/>
            </w:pPr>
            <w:r>
              <w:rPr>
                <w:rFonts w:ascii="Calibri" w:hAnsi="Calibri"/>
                <w:b w:val="0"/>
                <w:i w:val="0"/>
                <w:color w:val="243B53"/>
                <w:sz w:val="18"/>
              </w:rPr>
              <w:t>Manage SQL views, thresholds, data quality, and scoring versions.</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243B53"/>
                <w:sz w:val="18"/>
              </w:rPr>
              <w:t>Audit / compliance</w:t>
            </w:r>
          </w:p>
        </w:tc>
        <w:tc>
          <w:tcPr>
            <w:tcW w:type="dxa" w:w="3500"/>
            <w:tcMar>
              <w:top w:w="80" w:type="dxa"/>
              <w:start w:w="120" w:type="dxa"/>
              <w:bottom w:w="80" w:type="dxa"/>
              <w:end w:w="120" w:type="dxa"/>
            </w:tcMar>
            <w:vAlign w:val="center"/>
          </w:tcPr>
          <w:p>
            <w:pPr>
              <w:spacing w:after="0" w:line="264" w:lineRule="auto"/>
            </w:pPr>
            <w:r>
              <w:rPr>
                <w:rFonts w:ascii="Calibri" w:hAnsi="Calibri"/>
                <w:b w:val="0"/>
                <w:i w:val="0"/>
                <w:color w:val="243B53"/>
                <w:sz w:val="18"/>
              </w:rPr>
              <w:t>Reconstruct what happened and who acted.</w:t>
            </w:r>
          </w:p>
        </w:tc>
        <w:tc>
          <w:tcPr>
            <w:tcW w:type="dxa" w:w="3960"/>
            <w:tcMar>
              <w:top w:w="80" w:type="dxa"/>
              <w:start w:w="120" w:type="dxa"/>
              <w:bottom w:w="80" w:type="dxa"/>
              <w:end w:w="120" w:type="dxa"/>
            </w:tcMar>
            <w:vAlign w:val="center"/>
          </w:tcPr>
          <w:p>
            <w:pPr>
              <w:spacing w:after="0" w:line="264" w:lineRule="auto"/>
            </w:pPr>
            <w:r>
              <w:rPr>
                <w:rFonts w:ascii="Calibri" w:hAnsi="Calibri"/>
                <w:b w:val="0"/>
                <w:i w:val="0"/>
                <w:color w:val="243B53"/>
                <w:sz w:val="18"/>
              </w:rPr>
              <w:t>Inspect system events, human rationale, object IDs, and timestamps.</w:t>
            </w:r>
          </w:p>
        </w:tc>
      </w:tr>
    </w:tbl>
    <w:p>
      <w:pPr>
        <w:spacing w:after="40"/>
      </w:pPr>
    </w:p>
    <w:p>
      <w:pPr>
        <w:pStyle w:val="Heading2"/>
        <w:keepNext/>
      </w:pPr>
      <w:r>
        <w:t>2.3 Deliberate boundaries</w:t>
      </w:r>
    </w:p>
    <w:p>
      <w:pPr>
        <w:numPr>
          <w:ilvl w:val="0"/>
          <w:numId w:val="10"/>
        </w:numPr>
        <w:spacing w:after="80" w:line="300" w:lineRule="auto"/>
      </w:pPr>
      <w:r>
        <w:rPr>
          <w:rFonts w:ascii="Calibri" w:hAnsi="Calibri"/>
          <w:b w:val="0"/>
          <w:i w:val="0"/>
          <w:color w:val="243B53"/>
          <w:sz w:val="22"/>
        </w:rPr>
        <w:t>The application does not autonomously file a suspicious activity report.</w:t>
      </w:r>
    </w:p>
    <w:p>
      <w:pPr>
        <w:numPr>
          <w:ilvl w:val="0"/>
          <w:numId w:val="10"/>
        </w:numPr>
        <w:spacing w:after="80" w:line="300" w:lineRule="auto"/>
      </w:pPr>
      <w:r>
        <w:rPr>
          <w:rFonts w:ascii="Calibri" w:hAnsi="Calibri"/>
          <w:b w:val="0"/>
          <w:i w:val="0"/>
          <w:color w:val="243B53"/>
          <w:sz w:val="22"/>
        </w:rPr>
        <w:t>The recommended route is advisory and does not replace regulatory judgment.</w:t>
      </w:r>
    </w:p>
    <w:p>
      <w:pPr>
        <w:numPr>
          <w:ilvl w:val="0"/>
          <w:numId w:val="10"/>
        </w:numPr>
        <w:spacing w:after="80" w:line="300" w:lineRule="auto"/>
      </w:pPr>
      <w:r>
        <w:rPr>
          <w:rFonts w:ascii="Calibri" w:hAnsi="Calibri"/>
          <w:b w:val="0"/>
          <w:i w:val="0"/>
          <w:color w:val="243B53"/>
          <w:sz w:val="22"/>
        </w:rPr>
        <w:t>The included data is synthetic and must not be interpreted as a production monitoring model.</w:t>
      </w:r>
    </w:p>
    <w:p>
      <w:pPr>
        <w:numPr>
          <w:ilvl w:val="0"/>
          <w:numId w:val="10"/>
        </w:numPr>
        <w:spacing w:after="80" w:line="300" w:lineRule="auto"/>
      </w:pPr>
      <w:r>
        <w:rPr>
          <w:rFonts w:ascii="Calibri" w:hAnsi="Calibri"/>
          <w:b w:val="0"/>
          <w:i w:val="0"/>
          <w:color w:val="243B53"/>
          <w:sz w:val="22"/>
        </w:rPr>
        <w:t>External intelligence records are demonstration inputs, not live commercial watchlist feeds.</w:t>
      </w:r>
    </w:p>
    <w:p>
      <w:pPr>
        <w:numPr>
          <w:ilvl w:val="0"/>
          <w:numId w:val="10"/>
        </w:numPr>
        <w:spacing w:after="80" w:line="300" w:lineRule="auto"/>
      </w:pPr>
      <w:r>
        <w:rPr>
          <w:rFonts w:ascii="Calibri" w:hAnsi="Calibri"/>
          <w:b w:val="0"/>
          <w:i w:val="0"/>
          <w:color w:val="243B53"/>
          <w:sz w:val="22"/>
        </w:rPr>
        <w:t>Cortex-generated language is optional; core scoring and the deterministic brief remain operational without it.</w:t>
      </w:r>
    </w:p>
    <w:p>
      <w:r>
        <w:br w:type="page"/>
      </w:r>
    </w:p>
    <w:p>
      <w:pPr>
        <w:pStyle w:val="Heading1"/>
        <w:keepNext/>
      </w:pPr>
      <w:r>
        <w:t>3. End-to-end functional journey</w:t>
      </w:r>
    </w:p>
    <w:tbl>
      <w:tblPr>
        <w:tblW w:type="dxa" w:w="9360"/>
        <w:jc w:val="left"/>
        <w:tblLayout w:type="fixed"/>
        <w:tblLook w:firstColumn="1" w:firstRow="1" w:lastColumn="0" w:lastRow="0" w:noHBand="0" w:noVBand="1" w:val="04A0"/>
        <w:tblInd w:w="120" w:type="dxa"/>
        <w:tblBorders>
          <w:top w:val="single" w:sz="8" w:color="0F766E"/>
          <w:left w:val="single" w:sz="8" w:color="0F766E"/>
          <w:bottom w:val="single" w:sz="8" w:color="0F766E"/>
          <w:right w:val="single" w:sz="8" w:color="0F766E"/>
          <w:insideH w:val="single" w:sz="8" w:color="0F766E"/>
          <w:insideV w:val="single" w:sz="8" w:color="0F766E"/>
        </w:tblBorders>
      </w:tblPr>
      <w:tblGrid>
        <w:gridCol w:w="9360"/>
      </w:tblGrid>
      <w:tr>
        <w:tc>
          <w:tcPr>
            <w:tcW w:type="dxa" w:w="9360"/>
            <w:tcMar>
              <w:top w:w="80" w:type="dxa"/>
              <w:start w:w="120" w:type="dxa"/>
              <w:bottom w:w="80" w:type="dxa"/>
              <w:end w:w="120" w:type="dxa"/>
            </w:tcMar>
            <w:vAlign w:val="center"/>
            <w:shd w:fill="ECFDF8"/>
          </w:tcPr>
          <w:p>
            <w:pPr>
              <w:spacing w:after="0" w:line="288" w:lineRule="auto"/>
            </w:pPr>
            <w:r>
              <w:rPr>
                <w:rFonts w:ascii="Calibri" w:hAnsi="Calibri"/>
                <w:b/>
                <w:i w:val="0"/>
                <w:color w:val="0F766E"/>
                <w:sz w:val="22"/>
              </w:rPr>
              <w:t xml:space="preserve">Application flow: </w:t>
            </w:r>
            <w:r>
              <w:rPr>
                <w:rFonts w:ascii="Calibri" w:hAnsi="Calibri"/>
                <w:b w:val="0"/>
                <w:i w:val="0"/>
                <w:color w:val="243B53"/>
                <w:sz w:val="22"/>
              </w:rPr>
              <w:t>Alert selection -&gt; typology detection -&gt; connected-account analysis -&gt; evidence review -&gt; explainable score -&gt; intelligence brief -&gt; reviewer decision -&gt; audit event.</w:t>
            </w:r>
          </w:p>
        </w:tc>
      </w:tr>
    </w:tbl>
    <w:p>
      <w:pPr>
        <w:spacing w:after="20"/>
      </w:pPr>
    </w:p>
    <w:p>
      <w:pPr>
        <w:numPr>
          <w:ilvl w:val="0"/>
          <w:numId w:val="11"/>
        </w:numPr>
        <w:spacing w:after="80" w:line="300" w:lineRule="auto"/>
      </w:pPr>
      <w:r>
        <w:rPr>
          <w:rFonts w:ascii="Calibri" w:hAnsi="Calibri"/>
          <w:b w:val="0"/>
          <w:i w:val="0"/>
          <w:color w:val="243B53"/>
          <w:sz w:val="22"/>
        </w:rPr>
        <w:t>Select the case: The sidebar loads available cases, risk results, priority, and ownership from Snowflake.</w:t>
      </w:r>
    </w:p>
    <w:p>
      <w:pPr>
        <w:numPr>
          <w:ilvl w:val="0"/>
          <w:numId w:val="11"/>
        </w:numPr>
        <w:spacing w:after="80" w:line="300" w:lineRule="auto"/>
      </w:pPr>
      <w:r>
        <w:rPr>
          <w:rFonts w:ascii="Calibri" w:hAnsi="Calibri"/>
          <w:b w:val="0"/>
          <w:i w:val="0"/>
          <w:color w:val="243B53"/>
          <w:sz w:val="22"/>
        </w:rPr>
        <w:t>Orient the review: The Overview identifies the score, evidence strength, recommended route, alert reason, owner, and opened date.</w:t>
      </w:r>
    </w:p>
    <w:p>
      <w:pPr>
        <w:numPr>
          <w:ilvl w:val="0"/>
          <w:numId w:val="11"/>
        </w:numPr>
        <w:spacing w:after="80" w:line="300" w:lineRule="auto"/>
      </w:pPr>
      <w:r>
        <w:rPr>
          <w:rFonts w:ascii="Calibri" w:hAnsi="Calibri"/>
          <w:b w:val="0"/>
          <w:i w:val="0"/>
          <w:color w:val="243B53"/>
          <w:sz w:val="22"/>
        </w:rPr>
        <w:t>Validate suspicious patterns: The investigator checks each detected typology and its SQL explanation.</w:t>
      </w:r>
    </w:p>
    <w:p>
      <w:pPr>
        <w:numPr>
          <w:ilvl w:val="0"/>
          <w:numId w:val="11"/>
        </w:numPr>
        <w:spacing w:after="80" w:line="300" w:lineRule="auto"/>
      </w:pPr>
      <w:r>
        <w:rPr>
          <w:rFonts w:ascii="Calibri" w:hAnsi="Calibri"/>
          <w:b w:val="0"/>
          <w:i w:val="0"/>
          <w:color w:val="243B53"/>
          <w:sz w:val="22"/>
        </w:rPr>
        <w:t>Inspect the network: The investigator traces payroll, onward transfers, consolidation, cash-out, and shared-access relationships.</w:t>
      </w:r>
    </w:p>
    <w:p>
      <w:pPr>
        <w:numPr>
          <w:ilvl w:val="0"/>
          <w:numId w:val="11"/>
        </w:numPr>
        <w:spacing w:after="80" w:line="300" w:lineRule="auto"/>
      </w:pPr>
      <w:r>
        <w:rPr>
          <w:rFonts w:ascii="Calibri" w:hAnsi="Calibri"/>
          <w:b w:val="0"/>
          <w:i w:val="0"/>
          <w:color w:val="243B53"/>
          <w:sz w:val="22"/>
        </w:rPr>
        <w:t>Reconcile evidence: Documents, external intelligence, and transactions are reviewed together.</w:t>
      </w:r>
    </w:p>
    <w:p>
      <w:pPr>
        <w:numPr>
          <w:ilvl w:val="0"/>
          <w:numId w:val="11"/>
        </w:numPr>
        <w:spacing w:after="80" w:line="300" w:lineRule="auto"/>
      </w:pPr>
      <w:r>
        <w:rPr>
          <w:rFonts w:ascii="Calibri" w:hAnsi="Calibri"/>
          <w:b w:val="0"/>
          <w:i w:val="0"/>
          <w:color w:val="243B53"/>
          <w:sz w:val="22"/>
        </w:rPr>
        <w:t>Challenge the score: The reviewer sees the seven score components and top risk factors instead of a black-box number.</w:t>
      </w:r>
    </w:p>
    <w:p>
      <w:pPr>
        <w:numPr>
          <w:ilvl w:val="0"/>
          <w:numId w:val="11"/>
        </w:numPr>
        <w:spacing w:after="80" w:line="300" w:lineRule="auto"/>
      </w:pPr>
      <w:r>
        <w:rPr>
          <w:rFonts w:ascii="Calibri" w:hAnsi="Calibri"/>
          <w:b w:val="0"/>
          <w:i w:val="0"/>
          <w:color w:val="243B53"/>
          <w:sz w:val="22"/>
        </w:rPr>
        <w:t>Read the case brief: The application organizes suspicion, evidence, gaps, and the proposed next action.</w:t>
      </w:r>
    </w:p>
    <w:p>
      <w:pPr>
        <w:numPr>
          <w:ilvl w:val="0"/>
          <w:numId w:val="11"/>
        </w:numPr>
        <w:spacing w:after="80" w:line="300" w:lineRule="auto"/>
      </w:pPr>
      <w:r>
        <w:rPr>
          <w:rFonts w:ascii="Calibri" w:hAnsi="Calibri"/>
          <w:b w:val="0"/>
          <w:i w:val="0"/>
          <w:color w:val="243B53"/>
          <w:sz w:val="22"/>
        </w:rPr>
        <w:t>Record a controlled decision: The reviewer chooses an authorized route, names themselves, supplies rationale, and acknowledges the human gate.</w:t>
      </w:r>
    </w:p>
    <w:p>
      <w:pPr>
        <w:numPr>
          <w:ilvl w:val="0"/>
          <w:numId w:val="11"/>
        </w:numPr>
        <w:spacing w:after="80" w:line="300" w:lineRule="auto"/>
      </w:pPr>
      <w:r>
        <w:rPr>
          <w:rFonts w:ascii="Calibri" w:hAnsi="Calibri"/>
          <w:b w:val="0"/>
          <w:i w:val="0"/>
          <w:color w:val="243B53"/>
          <w:sz w:val="22"/>
        </w:rPr>
        <w:t>Verify the audit trail: The decision, actor, timestamp, rationale, object ID, and system events are available in chronological evidence.</w:t>
      </w:r>
    </w:p>
    <w:p>
      <w:pPr>
        <w:pStyle w:val="Heading1"/>
        <w:keepNext/>
      </w:pPr>
      <w:r>
        <w:t>4. Navigation and case context</w:t>
      </w:r>
    </w:p>
    <w:p>
      <w:pPr>
        <w:pStyle w:val="Heading2"/>
        <w:keepNext/>
      </w:pPr>
      <w:r>
        <w:t>4.1 Sidebar</w:t>
      </w:r>
    </w:p>
    <w:p>
      <w:pPr>
        <w:spacing w:after="120" w:line="300" w:lineRule="auto"/>
      </w:pPr>
      <w:r>
        <w:rPr>
          <w:rFonts w:ascii="Calibri" w:hAnsi="Calibri"/>
          <w:b w:val="0"/>
          <w:i w:val="0"/>
          <w:color w:val="243B53"/>
          <w:sz w:val="22"/>
        </w:rPr>
        <w:t>The sidebar is the persistent case-control surface. It displays the ShadowTraceAI identity, identifies the Snowflake-native investigation context, and provides the Active case selector. Each label combines case ID, risk band, and account display name so the reviewer can distinguish cases without opening them.</w:t>
      </w:r>
    </w:p>
    <w:p>
      <w:pPr>
        <w:numPr>
          <w:ilvl w:val="0"/>
          <w:numId w:val="10"/>
        </w:numPr>
        <w:spacing w:after="80" w:line="300" w:lineRule="auto"/>
      </w:pPr>
      <w:r>
        <w:rPr>
          <w:rFonts w:ascii="Calibri" w:hAnsi="Calibri"/>
          <w:b w:val="0"/>
          <w:i w:val="0"/>
          <w:color w:val="243B53"/>
          <w:sz w:val="22"/>
        </w:rPr>
        <w:t>Active case: changes the working case for every tab.</w:t>
      </w:r>
    </w:p>
    <w:p>
      <w:pPr>
        <w:numPr>
          <w:ilvl w:val="0"/>
          <w:numId w:val="10"/>
        </w:numPr>
        <w:spacing w:after="80" w:line="300" w:lineRule="auto"/>
      </w:pPr>
      <w:r>
        <w:rPr>
          <w:rFonts w:ascii="Calibri" w:hAnsi="Calibri"/>
          <w:b w:val="0"/>
          <w:i w:val="0"/>
          <w:color w:val="243B53"/>
          <w:sz w:val="22"/>
        </w:rPr>
        <w:t>Refresh case data: clears the 30-second case cache and reruns the application.</w:t>
      </w:r>
    </w:p>
    <w:p>
      <w:pPr>
        <w:numPr>
          <w:ilvl w:val="0"/>
          <w:numId w:val="10"/>
        </w:numPr>
        <w:spacing w:after="80" w:line="300" w:lineRule="auto"/>
      </w:pPr>
      <w:r>
        <w:rPr>
          <w:rFonts w:ascii="Calibri" w:hAnsi="Calibri"/>
          <w:b w:val="0"/>
          <w:i w:val="0"/>
          <w:color w:val="243B53"/>
          <w:sz w:val="22"/>
        </w:rPr>
        <w:t>Context labels: state the Domain-Specific AI Copilot track, Snowflake SQL foundation, Cortex readiness, and human decision gate.</w:t>
      </w:r>
    </w:p>
    <w:p>
      <w:pPr>
        <w:pStyle w:val="Heading2"/>
        <w:keepNext/>
      </w:pPr>
      <w:r>
        <w:t>4.2 Workspace header</w:t>
      </w:r>
    </w:p>
    <w:p>
      <w:pPr>
        <w:spacing w:after="120" w:line="300" w:lineRule="auto"/>
      </w:pPr>
      <w:r>
        <w:rPr>
          <w:rFonts w:ascii="Calibri" w:hAnsi="Calibri"/>
          <w:b w:val="0"/>
          <w:i w:val="0"/>
          <w:color w:val="243B53"/>
          <w:sz w:val="22"/>
        </w:rPr>
        <w:t>The workspace header confirms the selected case, account display name, alert status, and live Snowflake data state. The same case context remains in effect while the user moves across the eight top-level tabs.</w:t>
      </w:r>
    </w:p>
    <w:tbl>
      <w:tblPr>
        <w:tblW w:type="dxa" w:w="9360"/>
        <w:jc w:val="left"/>
        <w:tblLayout w:type="fixed"/>
        <w:tblLook w:firstColumn="1" w:firstRow="1" w:lastColumn="0" w:lastRow="0" w:noHBand="0" w:noVBand="1" w:val="04A0"/>
        <w:tblInd w:w="120" w:type="dxa"/>
        <w:tblBorders>
          <w:top w:val="single" w:sz="8" w:color="0F766E"/>
          <w:left w:val="single" w:sz="8" w:color="0F766E"/>
          <w:bottom w:val="single" w:sz="8" w:color="0F766E"/>
          <w:right w:val="single" w:sz="8" w:color="0F766E"/>
          <w:insideH w:val="single" w:sz="8" w:color="0F766E"/>
          <w:insideV w:val="single" w:sz="8" w:color="0F766E"/>
        </w:tblBorders>
      </w:tblPr>
      <w:tblGrid>
        <w:gridCol w:w="9360"/>
      </w:tblGrid>
      <w:tr>
        <w:tc>
          <w:tcPr>
            <w:tcW w:type="dxa" w:w="9360"/>
            <w:tcMar>
              <w:top w:w="80" w:type="dxa"/>
              <w:start w:w="120" w:type="dxa"/>
              <w:bottom w:w="80" w:type="dxa"/>
              <w:end w:w="120" w:type="dxa"/>
            </w:tcMar>
            <w:vAlign w:val="center"/>
            <w:shd w:fill="ECFDF8"/>
          </w:tcPr>
          <w:p>
            <w:pPr>
              <w:spacing w:after="0" w:line="288" w:lineRule="auto"/>
            </w:pPr>
            <w:r>
              <w:rPr>
                <w:rFonts w:ascii="Calibri" w:hAnsi="Calibri"/>
                <w:b/>
                <w:i w:val="0"/>
                <w:color w:val="0F766E"/>
                <w:sz w:val="22"/>
              </w:rPr>
              <w:t xml:space="preserve">Context integrity: </w:t>
            </w:r>
            <w:r>
              <w:rPr>
                <w:rFonts w:ascii="Calibri" w:hAnsi="Calibri"/>
                <w:b w:val="0"/>
                <w:i w:val="0"/>
                <w:color w:val="243B53"/>
                <w:sz w:val="22"/>
              </w:rPr>
              <w:t>All tab queries are parameterized with the selected case ID or its primary account ID. Changing the sidebar case changes the analytical context across the full workspace.</w:t>
            </w:r>
          </w:p>
        </w:tc>
      </w:tr>
    </w:tbl>
    <w:p>
      <w:pPr>
        <w:spacing w:after="20"/>
      </w:pPr>
    </w:p>
    <w:p>
      <w:r>
        <w:br w:type="page"/>
      </w:r>
    </w:p>
    <w:p>
      <w:pPr>
        <w:pStyle w:val="Heading1"/>
        <w:keepNext/>
      </w:pPr>
      <w:r>
        <w:t>5. Screen-by-screen functional specification</w:t>
      </w:r>
    </w:p>
    <w:p>
      <w:pPr>
        <w:pStyle w:val="Heading2"/>
        <w:keepNext/>
      </w:pPr>
      <w:r>
        <w:t>5.1 Overview</w:t>
      </w:r>
    </w:p>
    <w:p>
      <w:pPr>
        <w:spacing w:after="120" w:line="300" w:lineRule="auto"/>
      </w:pPr>
      <w:r>
        <w:rPr>
          <w:rFonts w:ascii="Calibri" w:hAnsi="Calibri"/>
          <w:b/>
          <w:i w:val="0"/>
          <w:color w:val="243B53"/>
          <w:sz w:val="22"/>
        </w:rPr>
        <w:t>Purpose:</w:t>
      </w:r>
      <w:r>
        <w:rPr>
          <w:rFonts w:ascii="Calibri" w:hAnsi="Calibri"/>
          <w:b w:val="0"/>
          <w:i w:val="0"/>
          <w:color w:val="243B53"/>
          <w:sz w:val="22"/>
        </w:rPr>
        <w:t xml:space="preserve"> Give the investigator a decision-oriented summary before opening detailed evidence.</w:t>
      </w:r>
    </w:p>
    <w:p>
      <w:pPr>
        <w:numPr>
          <w:ilvl w:val="0"/>
          <w:numId w:val="10"/>
        </w:numPr>
        <w:spacing w:after="80" w:line="300" w:lineRule="auto"/>
      </w:pPr>
      <w:r>
        <w:rPr>
          <w:rFonts w:ascii="Calibri" w:hAnsi="Calibri"/>
          <w:b w:val="0"/>
          <w:i w:val="0"/>
          <w:color w:val="243B53"/>
          <w:sz w:val="22"/>
        </w:rPr>
        <w:t>Composite risk card with score out of 100 and risk band.</w:t>
      </w:r>
    </w:p>
    <w:p>
      <w:pPr>
        <w:numPr>
          <w:ilvl w:val="0"/>
          <w:numId w:val="10"/>
        </w:numPr>
        <w:spacing w:after="80" w:line="300" w:lineRule="auto"/>
      </w:pPr>
      <w:r>
        <w:rPr>
          <w:rFonts w:ascii="Calibri" w:hAnsi="Calibri"/>
          <w:b w:val="0"/>
          <w:i w:val="0"/>
          <w:color w:val="243B53"/>
          <w:sz w:val="22"/>
        </w:rPr>
        <w:t>Evidence-strength metric: STRONG, MODERATE, or LIMITED.</w:t>
      </w:r>
    </w:p>
    <w:p>
      <w:pPr>
        <w:numPr>
          <w:ilvl w:val="0"/>
          <w:numId w:val="10"/>
        </w:numPr>
        <w:spacing w:after="80" w:line="300" w:lineRule="auto"/>
      </w:pPr>
      <w:r>
        <w:rPr>
          <w:rFonts w:ascii="Calibri" w:hAnsi="Calibri"/>
          <w:b w:val="0"/>
          <w:i w:val="0"/>
          <w:color w:val="243B53"/>
          <w:sz w:val="22"/>
        </w:rPr>
        <w:t>Recommended route translated into a readable action label.</w:t>
      </w:r>
    </w:p>
    <w:p>
      <w:pPr>
        <w:numPr>
          <w:ilvl w:val="0"/>
          <w:numId w:val="10"/>
        </w:numPr>
        <w:spacing w:after="80" w:line="300" w:lineRule="auto"/>
      </w:pPr>
      <w:r>
        <w:rPr>
          <w:rFonts w:ascii="Calibri" w:hAnsi="Calibri"/>
          <w:b w:val="0"/>
          <w:i w:val="0"/>
          <w:color w:val="243B53"/>
          <w:sz w:val="22"/>
        </w:rPr>
        <w:t>Alert summary explaining why the case was created.</w:t>
      </w:r>
    </w:p>
    <w:p>
      <w:pPr>
        <w:numPr>
          <w:ilvl w:val="0"/>
          <w:numId w:val="10"/>
        </w:numPr>
        <w:spacing w:after="80" w:line="300" w:lineRule="auto"/>
      </w:pPr>
      <w:r>
        <w:rPr>
          <w:rFonts w:ascii="Calibri" w:hAnsi="Calibri"/>
          <w:b w:val="0"/>
          <w:i w:val="0"/>
          <w:color w:val="243B53"/>
          <w:sz w:val="22"/>
        </w:rPr>
        <w:t>Alert type, assigned owner, and opened date.</w:t>
      </w:r>
    </w:p>
    <w:tbl>
      <w:tblPr>
        <w:tblW w:type="dxa" w:w="9360"/>
        <w:tblLayout w:type="fixed"/>
        <w:tblLook w:firstColumn="1" w:firstRow="1" w:lastColumn="0" w:lastRow="0" w:noHBand="0" w:noVBand="1" w:val="04A0"/>
        <w:jc w:val="left"/>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2300"/>
        <w:gridCol w:w="2700"/>
        <w:gridCol w:w="4360"/>
      </w:tblGrid>
      <w:tr>
        <w:trPr>
          <w:tblHeader w:val="true"/>
        </w:trPr>
        <w:tc>
          <w:tcPr>
            <w:tcW w:type="dxa" w:w="2300"/>
            <w:tcMar>
              <w:top w:w="80" w:type="dxa"/>
              <w:start w:w="120" w:type="dxa"/>
              <w:bottom w:w="80" w:type="dxa"/>
              <w:end w:w="120" w:type="dxa"/>
            </w:tcMar>
            <w:vAlign w:val="center"/>
            <w:shd w:fill="E8EEF5"/>
          </w:tcPr>
          <w:p>
            <w:pPr>
              <w:spacing w:after="0"/>
            </w:pPr>
            <w:r>
              <w:rPr>
                <w:rFonts w:ascii="Calibri" w:hAnsi="Calibri"/>
                <w:b/>
                <w:i w:val="0"/>
                <w:color w:val="102A43"/>
                <w:sz w:val="19"/>
              </w:rPr>
              <w:t>Displayed element</w:t>
            </w:r>
          </w:p>
        </w:tc>
        <w:tc>
          <w:tcPr>
            <w:tcW w:type="dxa" w:w="2700"/>
            <w:tcMar>
              <w:top w:w="80" w:type="dxa"/>
              <w:start w:w="120" w:type="dxa"/>
              <w:bottom w:w="80" w:type="dxa"/>
              <w:end w:w="120" w:type="dxa"/>
            </w:tcMar>
            <w:vAlign w:val="center"/>
            <w:shd w:fill="E8EEF5"/>
          </w:tcPr>
          <w:p>
            <w:pPr>
              <w:spacing w:after="0"/>
            </w:pPr>
            <w:r>
              <w:rPr>
                <w:rFonts w:ascii="Calibri" w:hAnsi="Calibri"/>
                <w:b/>
                <w:i w:val="0"/>
                <w:color w:val="102A43"/>
                <w:sz w:val="19"/>
              </w:rPr>
              <w:t>Snowflake source</w:t>
            </w:r>
          </w:p>
        </w:tc>
        <w:tc>
          <w:tcPr>
            <w:tcW w:type="dxa" w:w="4360"/>
            <w:tcMar>
              <w:top w:w="80" w:type="dxa"/>
              <w:start w:w="120" w:type="dxa"/>
              <w:bottom w:w="80" w:type="dxa"/>
              <w:end w:w="120" w:type="dxa"/>
            </w:tcMar>
            <w:vAlign w:val="center"/>
            <w:shd w:fill="E8EEF5"/>
          </w:tcPr>
          <w:p>
            <w:pPr>
              <w:spacing w:after="0"/>
            </w:pPr>
            <w:r>
              <w:rPr>
                <w:rFonts w:ascii="Calibri" w:hAnsi="Calibri"/>
                <w:b/>
                <w:i w:val="0"/>
                <w:color w:val="102A43"/>
                <w:sz w:val="19"/>
              </w:rPr>
              <w:t>Functional meaning</w:t>
            </w:r>
          </w:p>
        </w:tc>
      </w:tr>
      <w:tr>
        <w:tc>
          <w:tcPr>
            <w:tcW w:type="dxa" w:w="2300"/>
            <w:tcMar>
              <w:top w:w="80" w:type="dxa"/>
              <w:start w:w="120" w:type="dxa"/>
              <w:bottom w:w="80" w:type="dxa"/>
              <w:end w:w="120" w:type="dxa"/>
            </w:tcMar>
            <w:vAlign w:val="center"/>
          </w:tcPr>
          <w:p>
            <w:pPr>
              <w:spacing w:after="0" w:line="264" w:lineRule="auto"/>
            </w:pPr>
            <w:r>
              <w:rPr>
                <w:rFonts w:ascii="Calibri" w:hAnsi="Calibri"/>
                <w:b w:val="0"/>
                <w:i w:val="0"/>
                <w:color w:val="243B53"/>
                <w:sz w:val="18"/>
              </w:rPr>
              <w:t>Score / band</w:t>
            </w:r>
          </w:p>
        </w:tc>
        <w:tc>
          <w:tcPr>
            <w:tcW w:type="dxa" w:w="2700"/>
            <w:tcMar>
              <w:top w:w="80" w:type="dxa"/>
              <w:start w:w="120" w:type="dxa"/>
              <w:bottom w:w="80" w:type="dxa"/>
              <w:end w:w="120" w:type="dxa"/>
            </w:tcMar>
            <w:vAlign w:val="center"/>
          </w:tcPr>
          <w:p>
            <w:pPr>
              <w:spacing w:after="0" w:line="264" w:lineRule="auto"/>
            </w:pPr>
            <w:r>
              <w:rPr>
                <w:rFonts w:ascii="Calibri" w:hAnsi="Calibri"/>
                <w:b w:val="0"/>
                <w:i w:val="0"/>
                <w:color w:val="243B53"/>
                <w:sz w:val="18"/>
              </w:rPr>
              <w:t>vw_case_risk_summary</w:t>
            </w:r>
          </w:p>
        </w:tc>
        <w:tc>
          <w:tcPr>
            <w:tcW w:type="dxa" w:w="4360"/>
            <w:tcMar>
              <w:top w:w="80" w:type="dxa"/>
              <w:start w:w="120" w:type="dxa"/>
              <w:bottom w:w="80" w:type="dxa"/>
              <w:end w:w="120" w:type="dxa"/>
            </w:tcMar>
            <w:vAlign w:val="center"/>
          </w:tcPr>
          <w:p>
            <w:pPr>
              <w:spacing w:after="0" w:line="264" w:lineRule="auto"/>
            </w:pPr>
            <w:r>
              <w:rPr>
                <w:rFonts w:ascii="Calibri" w:hAnsi="Calibri"/>
                <w:b w:val="0"/>
                <w:i w:val="0"/>
                <w:color w:val="243B53"/>
                <w:sz w:val="18"/>
              </w:rPr>
              <w:t>Current deterministic case severity.</w:t>
            </w:r>
          </w:p>
        </w:tc>
      </w:tr>
      <w:tr>
        <w:tc>
          <w:tcPr>
            <w:tcW w:type="dxa" w:w="2300"/>
            <w:tcMar>
              <w:top w:w="80" w:type="dxa"/>
              <w:start w:w="120" w:type="dxa"/>
              <w:bottom w:w="80" w:type="dxa"/>
              <w:end w:w="120" w:type="dxa"/>
            </w:tcMar>
            <w:vAlign w:val="center"/>
          </w:tcPr>
          <w:p>
            <w:pPr>
              <w:spacing w:after="0" w:line="264" w:lineRule="auto"/>
            </w:pPr>
            <w:r>
              <w:rPr>
                <w:rFonts w:ascii="Calibri" w:hAnsi="Calibri"/>
                <w:b w:val="0"/>
                <w:i w:val="0"/>
                <w:color w:val="243B53"/>
                <w:sz w:val="18"/>
              </w:rPr>
              <w:t>Evidence strength</w:t>
            </w:r>
          </w:p>
        </w:tc>
        <w:tc>
          <w:tcPr>
            <w:tcW w:type="dxa" w:w="2700"/>
            <w:tcMar>
              <w:top w:w="80" w:type="dxa"/>
              <w:start w:w="120" w:type="dxa"/>
              <w:bottom w:w="80" w:type="dxa"/>
              <w:end w:w="120" w:type="dxa"/>
            </w:tcMar>
            <w:vAlign w:val="center"/>
          </w:tcPr>
          <w:p>
            <w:pPr>
              <w:spacing w:after="0" w:line="264" w:lineRule="auto"/>
            </w:pPr>
            <w:r>
              <w:rPr>
                <w:rFonts w:ascii="Calibri" w:hAnsi="Calibri"/>
                <w:b w:val="0"/>
                <w:i w:val="0"/>
                <w:color w:val="243B53"/>
                <w:sz w:val="18"/>
              </w:rPr>
              <w:t>vw_case_risk_summary</w:t>
            </w:r>
          </w:p>
        </w:tc>
        <w:tc>
          <w:tcPr>
            <w:tcW w:type="dxa" w:w="4360"/>
            <w:tcMar>
              <w:top w:w="80" w:type="dxa"/>
              <w:start w:w="120" w:type="dxa"/>
              <w:bottom w:w="80" w:type="dxa"/>
              <w:end w:w="120" w:type="dxa"/>
            </w:tcMar>
            <w:vAlign w:val="center"/>
          </w:tcPr>
          <w:p>
            <w:pPr>
              <w:spacing w:after="0" w:line="264" w:lineRule="auto"/>
            </w:pPr>
            <w:r>
              <w:rPr>
                <w:rFonts w:ascii="Calibri" w:hAnsi="Calibri"/>
                <w:b w:val="0"/>
                <w:i w:val="0"/>
                <w:color w:val="243B53"/>
                <w:sz w:val="18"/>
              </w:rPr>
              <w:t>Degree of multi-source corroboration.</w:t>
            </w:r>
          </w:p>
        </w:tc>
      </w:tr>
      <w:tr>
        <w:tc>
          <w:tcPr>
            <w:tcW w:type="dxa" w:w="2300"/>
            <w:tcMar>
              <w:top w:w="80" w:type="dxa"/>
              <w:start w:w="120" w:type="dxa"/>
              <w:bottom w:w="80" w:type="dxa"/>
              <w:end w:w="120" w:type="dxa"/>
            </w:tcMar>
            <w:vAlign w:val="center"/>
          </w:tcPr>
          <w:p>
            <w:pPr>
              <w:spacing w:after="0" w:line="264" w:lineRule="auto"/>
            </w:pPr>
            <w:r>
              <w:rPr>
                <w:rFonts w:ascii="Calibri" w:hAnsi="Calibri"/>
                <w:b w:val="0"/>
                <w:i w:val="0"/>
                <w:color w:val="243B53"/>
                <w:sz w:val="18"/>
              </w:rPr>
              <w:t>Recommended route</w:t>
            </w:r>
          </w:p>
        </w:tc>
        <w:tc>
          <w:tcPr>
            <w:tcW w:type="dxa" w:w="2700"/>
            <w:tcMar>
              <w:top w:w="80" w:type="dxa"/>
              <w:start w:w="120" w:type="dxa"/>
              <w:bottom w:w="80" w:type="dxa"/>
              <w:end w:w="120" w:type="dxa"/>
            </w:tcMar>
            <w:vAlign w:val="center"/>
          </w:tcPr>
          <w:p>
            <w:pPr>
              <w:spacing w:after="0" w:line="264" w:lineRule="auto"/>
            </w:pPr>
            <w:r>
              <w:rPr>
                <w:rFonts w:ascii="Calibri" w:hAnsi="Calibri"/>
                <w:b w:val="0"/>
                <w:i w:val="0"/>
                <w:color w:val="243B53"/>
                <w:sz w:val="18"/>
              </w:rPr>
              <w:t>vw_case_risk_summary</w:t>
            </w:r>
          </w:p>
        </w:tc>
        <w:tc>
          <w:tcPr>
            <w:tcW w:type="dxa" w:w="4360"/>
            <w:tcMar>
              <w:top w:w="80" w:type="dxa"/>
              <w:start w:w="120" w:type="dxa"/>
              <w:bottom w:w="80" w:type="dxa"/>
              <w:end w:w="120" w:type="dxa"/>
            </w:tcMar>
            <w:vAlign w:val="center"/>
          </w:tcPr>
          <w:p>
            <w:pPr>
              <w:spacing w:after="0" w:line="264" w:lineRule="auto"/>
            </w:pPr>
            <w:r>
              <w:rPr>
                <w:rFonts w:ascii="Calibri" w:hAnsi="Calibri"/>
                <w:b w:val="0"/>
                <w:i w:val="0"/>
                <w:color w:val="243B53"/>
                <w:sz w:val="18"/>
              </w:rPr>
              <w:t>Next-step recommendation, not an automatic action.</w:t>
            </w:r>
          </w:p>
        </w:tc>
      </w:tr>
      <w:tr>
        <w:tc>
          <w:tcPr>
            <w:tcW w:type="dxa" w:w="2300"/>
            <w:tcMar>
              <w:top w:w="80" w:type="dxa"/>
              <w:start w:w="120" w:type="dxa"/>
              <w:bottom w:w="80" w:type="dxa"/>
              <w:end w:w="120" w:type="dxa"/>
            </w:tcMar>
            <w:vAlign w:val="center"/>
          </w:tcPr>
          <w:p>
            <w:pPr>
              <w:spacing w:after="0" w:line="264" w:lineRule="auto"/>
            </w:pPr>
            <w:r>
              <w:rPr>
                <w:rFonts w:ascii="Calibri" w:hAnsi="Calibri"/>
                <w:b w:val="0"/>
                <w:i w:val="0"/>
                <w:color w:val="243B53"/>
                <w:sz w:val="18"/>
              </w:rPr>
              <w:t>Alert summary and metadata</w:t>
            </w:r>
          </w:p>
        </w:tc>
        <w:tc>
          <w:tcPr>
            <w:tcW w:type="dxa" w:w="2700"/>
            <w:tcMar>
              <w:top w:w="80" w:type="dxa"/>
              <w:start w:w="120" w:type="dxa"/>
              <w:bottom w:w="80" w:type="dxa"/>
              <w:end w:w="120" w:type="dxa"/>
            </w:tcMar>
            <w:vAlign w:val="center"/>
          </w:tcPr>
          <w:p>
            <w:pPr>
              <w:spacing w:after="0" w:line="264" w:lineRule="auto"/>
            </w:pPr>
            <w:r>
              <w:rPr>
                <w:rFonts w:ascii="Calibri" w:hAnsi="Calibri"/>
                <w:b w:val="0"/>
                <w:i w:val="0"/>
                <w:color w:val="243B53"/>
                <w:sz w:val="18"/>
              </w:rPr>
              <w:t>case_alerts</w:t>
            </w:r>
          </w:p>
        </w:tc>
        <w:tc>
          <w:tcPr>
            <w:tcW w:type="dxa" w:w="4360"/>
            <w:tcMar>
              <w:top w:w="80" w:type="dxa"/>
              <w:start w:w="120" w:type="dxa"/>
              <w:bottom w:w="80" w:type="dxa"/>
              <w:end w:w="120" w:type="dxa"/>
            </w:tcMar>
            <w:vAlign w:val="center"/>
          </w:tcPr>
          <w:p>
            <w:pPr>
              <w:spacing w:after="0" w:line="264" w:lineRule="auto"/>
            </w:pPr>
            <w:r>
              <w:rPr>
                <w:rFonts w:ascii="Calibri" w:hAnsi="Calibri"/>
                <w:b w:val="0"/>
                <w:i w:val="0"/>
                <w:color w:val="243B53"/>
                <w:sz w:val="18"/>
              </w:rPr>
              <w:t>Original alert purpose, type, owner, and timestamp.</w:t>
            </w:r>
          </w:p>
        </w:tc>
      </w:tr>
    </w:tbl>
    <w:p>
      <w:pPr>
        <w:spacing w:after="40"/>
      </w:pPr>
    </w:p>
    <w:tbl>
      <w:tblPr>
        <w:tblW w:type="dxa" w:w="9360"/>
        <w:jc w:val="left"/>
        <w:tblLayout w:type="fixed"/>
        <w:tblLook w:firstColumn="1" w:firstRow="1" w:lastColumn="0" w:lastRow="0" w:noHBand="0" w:noVBand="1" w:val="04A0"/>
        <w:tblInd w:w="120" w:type="dxa"/>
        <w:tblBorders>
          <w:top w:val="single" w:sz="8" w:color="B42318"/>
          <w:left w:val="single" w:sz="8" w:color="B42318"/>
          <w:bottom w:val="single" w:sz="8" w:color="B42318"/>
          <w:right w:val="single" w:sz="8" w:color="B42318"/>
          <w:insideH w:val="single" w:sz="8" w:color="B42318"/>
          <w:insideV w:val="single" w:sz="8" w:color="B42318"/>
        </w:tblBorders>
      </w:tblPr>
      <w:tblGrid>
        <w:gridCol w:w="9360"/>
      </w:tblGrid>
      <w:tr>
        <w:tc>
          <w:tcPr>
            <w:tcW w:type="dxa" w:w="9360"/>
            <w:tcMar>
              <w:top w:w="80" w:type="dxa"/>
              <w:start w:w="120" w:type="dxa"/>
              <w:bottom w:w="80" w:type="dxa"/>
              <w:end w:w="120" w:type="dxa"/>
            </w:tcMar>
            <w:vAlign w:val="center"/>
            <w:shd w:fill="FFF3F2"/>
          </w:tcPr>
          <w:p>
            <w:pPr>
              <w:spacing w:after="0" w:line="288" w:lineRule="auto"/>
            </w:pPr>
            <w:r>
              <w:rPr>
                <w:rFonts w:ascii="Calibri" w:hAnsi="Calibri"/>
                <w:b/>
                <w:i w:val="0"/>
                <w:color w:val="B42318"/>
                <w:sz w:val="22"/>
              </w:rPr>
              <w:t xml:space="preserve">CASE-C003 result: </w:t>
            </w:r>
            <w:r>
              <w:rPr>
                <w:rFonts w:ascii="Calibri" w:hAnsi="Calibri"/>
                <w:b w:val="0"/>
                <w:i w:val="0"/>
                <w:color w:val="243B53"/>
                <w:sz w:val="22"/>
              </w:rPr>
              <w:t>92/100, CRITICAL, STRONG evidence, recommended route Escalate to SAR.</w:t>
            </w:r>
          </w:p>
        </w:tc>
      </w:tr>
    </w:tbl>
    <w:p>
      <w:pPr>
        <w:spacing w:after="20"/>
      </w:pPr>
    </w:p>
    <w:p>
      <w:pPr>
        <w:pStyle w:val="Heading2"/>
        <w:keepNext/>
      </w:pPr>
      <w:r>
        <w:t>5.2 Typology Signals</w:t>
      </w:r>
    </w:p>
    <w:p>
      <w:pPr>
        <w:spacing w:after="120" w:line="300" w:lineRule="auto"/>
      </w:pPr>
      <w:r>
        <w:rPr>
          <w:rFonts w:ascii="Calibri" w:hAnsi="Calibri"/>
          <w:b/>
          <w:i w:val="0"/>
          <w:color w:val="243B53"/>
          <w:sz w:val="22"/>
        </w:rPr>
        <w:t>Purpose:</w:t>
      </w:r>
      <w:r>
        <w:rPr>
          <w:rFonts w:ascii="Calibri" w:hAnsi="Calibri"/>
          <w:b w:val="0"/>
          <w:i w:val="0"/>
          <w:color w:val="243B53"/>
          <w:sz w:val="22"/>
        </w:rPr>
        <w:t xml:space="preserve"> Show which modern-slavery patterns fired, how many points each contributed, and why the SQL considered the pattern suspicious.</w:t>
      </w:r>
    </w:p>
    <w:p>
      <w:pPr>
        <w:numPr>
          <w:ilvl w:val="0"/>
          <w:numId w:val="10"/>
        </w:numPr>
        <w:spacing w:after="80" w:line="300" w:lineRule="auto"/>
      </w:pPr>
      <w:r>
        <w:rPr>
          <w:rFonts w:ascii="Calibri" w:hAnsi="Calibri"/>
          <w:b w:val="0"/>
          <w:i w:val="0"/>
          <w:color w:val="243B53"/>
          <w:sz w:val="22"/>
        </w:rPr>
        <w:t>Detected-signal pills provide a rapid summary and point contribution.</w:t>
      </w:r>
    </w:p>
    <w:p>
      <w:pPr>
        <w:numPr>
          <w:ilvl w:val="0"/>
          <w:numId w:val="10"/>
        </w:numPr>
        <w:spacing w:after="80" w:line="300" w:lineRule="auto"/>
      </w:pPr>
      <w:r>
        <w:rPr>
          <w:rFonts w:ascii="Calibri" w:hAnsi="Calibri"/>
          <w:b w:val="0"/>
          <w:i w:val="0"/>
          <w:color w:val="243B53"/>
          <w:sz w:val="22"/>
        </w:rPr>
        <w:t>The signal table shows signal type, detection state, points, and human-readable explanation.</w:t>
      </w:r>
    </w:p>
    <w:p>
      <w:pPr>
        <w:numPr>
          <w:ilvl w:val="0"/>
          <w:numId w:val="10"/>
        </w:numPr>
        <w:spacing w:after="80" w:line="300" w:lineRule="auto"/>
      </w:pPr>
      <w:r>
        <w:rPr>
          <w:rFonts w:ascii="Calibri" w:hAnsi="Calibri"/>
          <w:b w:val="0"/>
          <w:i w:val="0"/>
          <w:color w:val="243B53"/>
          <w:sz w:val="22"/>
        </w:rPr>
        <w:t>Risk points use a progress display capped at 25 for quick comparison.</w:t>
      </w:r>
    </w:p>
    <w:p>
      <w:pPr>
        <w:numPr>
          <w:ilvl w:val="0"/>
          <w:numId w:val="10"/>
        </w:numPr>
        <w:spacing w:after="80" w:line="300" w:lineRule="auto"/>
      </w:pPr>
      <w:r>
        <w:rPr>
          <w:rFonts w:ascii="Calibri" w:hAnsi="Calibri"/>
          <w:b w:val="0"/>
          <w:i w:val="0"/>
          <w:color w:val="243B53"/>
          <w:sz w:val="22"/>
        </w:rPr>
        <w:t>Signals are ordered by contribution so the strongest pattern appears first.</w:t>
      </w:r>
    </w:p>
    <w:tbl>
      <w:tblPr>
        <w:tblW w:type="dxa" w:w="9360"/>
        <w:tblLayout w:type="fixed"/>
        <w:tblLook w:firstColumn="1" w:firstRow="1" w:lastColumn="0" w:lastRow="0" w:noHBand="0" w:noVBand="1" w:val="04A0"/>
        <w:jc w:val="left"/>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1700"/>
        <w:gridCol w:w="3500"/>
        <w:gridCol w:w="800"/>
        <w:gridCol w:w="3360"/>
      </w:tblGrid>
      <w:tr>
        <w:trPr>
          <w:tblHeader w:val="true"/>
        </w:trPr>
        <w:tc>
          <w:tcPr>
            <w:tcW w:type="dxa" w:w="1700"/>
            <w:tcMar>
              <w:top w:w="80" w:type="dxa"/>
              <w:start w:w="120" w:type="dxa"/>
              <w:bottom w:w="80" w:type="dxa"/>
              <w:end w:w="120" w:type="dxa"/>
            </w:tcMar>
            <w:vAlign w:val="center"/>
            <w:shd w:fill="E8EEF5"/>
          </w:tcPr>
          <w:p>
            <w:pPr>
              <w:spacing w:after="0"/>
            </w:pPr>
            <w:r>
              <w:rPr>
                <w:rFonts w:ascii="Calibri" w:hAnsi="Calibri"/>
                <w:b/>
                <w:i w:val="0"/>
                <w:color w:val="102A43"/>
                <w:sz w:val="19"/>
              </w:rPr>
              <w:t>Typology</w:t>
            </w:r>
          </w:p>
        </w:tc>
        <w:tc>
          <w:tcPr>
            <w:tcW w:type="dxa" w:w="3500"/>
            <w:tcMar>
              <w:top w:w="80" w:type="dxa"/>
              <w:start w:w="120" w:type="dxa"/>
              <w:bottom w:w="80" w:type="dxa"/>
              <w:end w:w="120" w:type="dxa"/>
            </w:tcMar>
            <w:vAlign w:val="center"/>
            <w:shd w:fill="E8EEF5"/>
          </w:tcPr>
          <w:p>
            <w:pPr>
              <w:spacing w:after="0"/>
            </w:pPr>
            <w:r>
              <w:rPr>
                <w:rFonts w:ascii="Calibri" w:hAnsi="Calibri"/>
                <w:b/>
                <w:i w:val="0"/>
                <w:color w:val="102A43"/>
                <w:sz w:val="19"/>
              </w:rPr>
              <w:t>Detection rule</w:t>
            </w:r>
          </w:p>
        </w:tc>
        <w:tc>
          <w:tcPr>
            <w:tcW w:type="dxa" w:w="800"/>
            <w:tcMar>
              <w:top w:w="80" w:type="dxa"/>
              <w:start w:w="120" w:type="dxa"/>
              <w:bottom w:w="80" w:type="dxa"/>
              <w:end w:w="120" w:type="dxa"/>
            </w:tcMar>
            <w:vAlign w:val="center"/>
            <w:shd w:fill="E8EEF5"/>
          </w:tcPr>
          <w:p>
            <w:pPr>
              <w:spacing w:after="0"/>
            </w:pPr>
            <w:r>
              <w:rPr>
                <w:rFonts w:ascii="Calibri" w:hAnsi="Calibri"/>
                <w:b/>
                <w:i w:val="0"/>
                <w:color w:val="102A43"/>
                <w:sz w:val="19"/>
              </w:rPr>
              <w:t>Points</w:t>
            </w:r>
          </w:p>
        </w:tc>
        <w:tc>
          <w:tcPr>
            <w:tcW w:type="dxa" w:w="3360"/>
            <w:tcMar>
              <w:top w:w="80" w:type="dxa"/>
              <w:start w:w="120" w:type="dxa"/>
              <w:bottom w:w="80" w:type="dxa"/>
              <w:end w:w="120" w:type="dxa"/>
            </w:tcMar>
            <w:vAlign w:val="center"/>
            <w:shd w:fill="E8EEF5"/>
          </w:tcPr>
          <w:p>
            <w:pPr>
              <w:spacing w:after="0"/>
            </w:pPr>
            <w:r>
              <w:rPr>
                <w:rFonts w:ascii="Calibri" w:hAnsi="Calibri"/>
                <w:b/>
                <w:i w:val="0"/>
                <w:color w:val="102A43"/>
                <w:sz w:val="19"/>
              </w:rPr>
              <w:t>CASE-C003 evidence</w:t>
            </w:r>
          </w:p>
        </w:tc>
      </w:tr>
      <w:tr>
        <w:tc>
          <w:tcPr>
            <w:tcW w:type="dxa" w:w="1700"/>
            <w:tcMar>
              <w:top w:w="80" w:type="dxa"/>
              <w:start w:w="120" w:type="dxa"/>
              <w:bottom w:w="80" w:type="dxa"/>
              <w:end w:w="120" w:type="dxa"/>
            </w:tcMar>
            <w:vAlign w:val="center"/>
          </w:tcPr>
          <w:p>
            <w:pPr>
              <w:spacing w:after="0" w:line="264" w:lineRule="auto"/>
            </w:pPr>
            <w:r>
              <w:rPr>
                <w:rFonts w:ascii="Calibri" w:hAnsi="Calibri"/>
                <w:b w:val="0"/>
                <w:i w:val="0"/>
                <w:color w:val="243B53"/>
                <w:sz w:val="18"/>
              </w:rPr>
              <w:t>Wage harvesting</w:t>
            </w:r>
          </w:p>
        </w:tc>
        <w:tc>
          <w:tcPr>
            <w:tcW w:type="dxa" w:w="3500"/>
            <w:tcMar>
              <w:top w:w="80" w:type="dxa"/>
              <w:start w:w="120" w:type="dxa"/>
              <w:bottom w:w="80" w:type="dxa"/>
              <w:end w:w="120" w:type="dxa"/>
            </w:tcMar>
            <w:vAlign w:val="center"/>
          </w:tcPr>
          <w:p>
            <w:pPr>
              <w:spacing w:after="0" w:line="264" w:lineRule="auto"/>
            </w:pPr>
            <w:r>
              <w:rPr>
                <w:rFonts w:ascii="Calibri" w:hAnsi="Calibri"/>
                <w:b w:val="0"/>
                <w:i w:val="0"/>
                <w:color w:val="243B53"/>
                <w:sz w:val="18"/>
              </w:rPr>
              <w:t>At least 3 workers transfer at least 70% of wages within 24 hours.</w:t>
            </w:r>
          </w:p>
        </w:tc>
        <w:tc>
          <w:tcPr>
            <w:tcW w:type="dxa" w:w="800"/>
            <w:tcMar>
              <w:top w:w="80" w:type="dxa"/>
              <w:start w:w="120" w:type="dxa"/>
              <w:bottom w:w="80" w:type="dxa"/>
              <w:end w:w="120" w:type="dxa"/>
            </w:tcMar>
            <w:vAlign w:val="center"/>
          </w:tcPr>
          <w:p>
            <w:pPr>
              <w:spacing w:after="0" w:line="264" w:lineRule="auto"/>
            </w:pPr>
            <w:r>
              <w:rPr>
                <w:rFonts w:ascii="Calibri" w:hAnsi="Calibri"/>
                <w:b w:val="0"/>
                <w:i w:val="0"/>
                <w:color w:val="243B53"/>
                <w:sz w:val="18"/>
              </w:rPr>
              <w:t>25</w:t>
            </w:r>
          </w:p>
        </w:tc>
        <w:tc>
          <w:tcPr>
            <w:tcW w:type="dxa" w:w="3360"/>
            <w:tcMar>
              <w:top w:w="80" w:type="dxa"/>
              <w:start w:w="120" w:type="dxa"/>
              <w:bottom w:w="80" w:type="dxa"/>
              <w:end w:w="120" w:type="dxa"/>
            </w:tcMar>
            <w:vAlign w:val="center"/>
          </w:tcPr>
          <w:p>
            <w:pPr>
              <w:spacing w:after="0" w:line="264" w:lineRule="auto"/>
            </w:pPr>
            <w:r>
              <w:rPr>
                <w:rFonts w:ascii="Calibri" w:hAnsi="Calibri"/>
                <w:b w:val="0"/>
                <w:i w:val="0"/>
                <w:color w:val="243B53"/>
                <w:sz w:val="18"/>
              </w:rPr>
              <w:t>Five workers rapidly transfer wages to common controllers.</w:t>
            </w:r>
          </w:p>
        </w:tc>
      </w:tr>
      <w:tr>
        <w:tc>
          <w:tcPr>
            <w:tcW w:type="dxa" w:w="1700"/>
            <w:tcMar>
              <w:top w:w="80" w:type="dxa"/>
              <w:start w:w="120" w:type="dxa"/>
              <w:bottom w:w="80" w:type="dxa"/>
              <w:end w:w="120" w:type="dxa"/>
            </w:tcMar>
            <w:vAlign w:val="center"/>
          </w:tcPr>
          <w:p>
            <w:pPr>
              <w:spacing w:after="0" w:line="264" w:lineRule="auto"/>
            </w:pPr>
            <w:r>
              <w:rPr>
                <w:rFonts w:ascii="Calibri" w:hAnsi="Calibri"/>
                <w:b w:val="0"/>
                <w:i w:val="0"/>
                <w:color w:val="243B53"/>
                <w:sz w:val="18"/>
              </w:rPr>
              <w:t>Account control</w:t>
            </w:r>
          </w:p>
        </w:tc>
        <w:tc>
          <w:tcPr>
            <w:tcW w:type="dxa" w:w="3500"/>
            <w:tcMar>
              <w:top w:w="80" w:type="dxa"/>
              <w:start w:w="120" w:type="dxa"/>
              <w:bottom w:w="80" w:type="dxa"/>
              <w:end w:w="120" w:type="dxa"/>
            </w:tcMar>
            <w:vAlign w:val="center"/>
          </w:tcPr>
          <w:p>
            <w:pPr>
              <w:spacing w:after="0" w:line="264" w:lineRule="auto"/>
            </w:pPr>
            <w:r>
              <w:rPr>
                <w:rFonts w:ascii="Calibri" w:hAnsi="Calibri"/>
                <w:b w:val="0"/>
                <w:i w:val="0"/>
                <w:color w:val="243B53"/>
                <w:sz w:val="18"/>
              </w:rPr>
              <w:t>A shared device and IP accesses at least 4 related accounts.</w:t>
            </w:r>
          </w:p>
        </w:tc>
        <w:tc>
          <w:tcPr>
            <w:tcW w:type="dxa" w:w="800"/>
            <w:tcMar>
              <w:top w:w="80" w:type="dxa"/>
              <w:start w:w="120" w:type="dxa"/>
              <w:bottom w:w="80" w:type="dxa"/>
              <w:end w:w="120" w:type="dxa"/>
            </w:tcMar>
            <w:vAlign w:val="center"/>
          </w:tcPr>
          <w:p>
            <w:pPr>
              <w:spacing w:after="0" w:line="264" w:lineRule="auto"/>
            </w:pPr>
            <w:r>
              <w:rPr>
                <w:rFonts w:ascii="Calibri" w:hAnsi="Calibri"/>
                <w:b w:val="0"/>
                <w:i w:val="0"/>
                <w:color w:val="243B53"/>
                <w:sz w:val="18"/>
              </w:rPr>
              <w:t>25</w:t>
            </w:r>
          </w:p>
        </w:tc>
        <w:tc>
          <w:tcPr>
            <w:tcW w:type="dxa" w:w="3360"/>
            <w:tcMar>
              <w:top w:w="80" w:type="dxa"/>
              <w:start w:w="120" w:type="dxa"/>
              <w:bottom w:w="80" w:type="dxa"/>
              <w:end w:w="120" w:type="dxa"/>
            </w:tcMar>
            <w:vAlign w:val="center"/>
          </w:tcPr>
          <w:p>
            <w:pPr>
              <w:spacing w:after="0" w:line="264" w:lineRule="auto"/>
            </w:pPr>
            <w:r>
              <w:rPr>
                <w:rFonts w:ascii="Calibri" w:hAnsi="Calibri"/>
                <w:b w:val="0"/>
                <w:i w:val="0"/>
                <w:color w:val="243B53"/>
                <w:sz w:val="18"/>
              </w:rPr>
              <w:t>Common access links worker, controller, and funnel accounts.</w:t>
            </w:r>
          </w:p>
        </w:tc>
      </w:tr>
      <w:tr>
        <w:tc>
          <w:tcPr>
            <w:tcW w:type="dxa" w:w="1700"/>
            <w:tcMar>
              <w:top w:w="80" w:type="dxa"/>
              <w:start w:w="120" w:type="dxa"/>
              <w:bottom w:w="80" w:type="dxa"/>
              <w:end w:w="120" w:type="dxa"/>
            </w:tcMar>
            <w:vAlign w:val="center"/>
          </w:tcPr>
          <w:p>
            <w:pPr>
              <w:spacing w:after="0" w:line="264" w:lineRule="auto"/>
            </w:pPr>
            <w:r>
              <w:rPr>
                <w:rFonts w:ascii="Calibri" w:hAnsi="Calibri"/>
                <w:b w:val="0"/>
                <w:i w:val="0"/>
                <w:color w:val="243B53"/>
                <w:sz w:val="18"/>
              </w:rPr>
              <w:t>Spending anomaly</w:t>
            </w:r>
          </w:p>
        </w:tc>
        <w:tc>
          <w:tcPr>
            <w:tcW w:type="dxa" w:w="3500"/>
            <w:tcMar>
              <w:top w:w="80" w:type="dxa"/>
              <w:start w:w="120" w:type="dxa"/>
              <w:bottom w:w="80" w:type="dxa"/>
              <w:end w:w="120" w:type="dxa"/>
            </w:tcMar>
            <w:vAlign w:val="center"/>
          </w:tcPr>
          <w:p>
            <w:pPr>
              <w:spacing w:after="0" w:line="264" w:lineRule="auto"/>
            </w:pPr>
            <w:r>
              <w:rPr>
                <w:rFonts w:ascii="Calibri" w:hAnsi="Calibri"/>
                <w:b w:val="0"/>
                <w:i w:val="0"/>
                <w:color w:val="243B53"/>
                <w:sz w:val="18"/>
              </w:rPr>
              <w:t>At least 3 workers direct at least 80% of outgoing value to transfer or cash.</w:t>
            </w:r>
          </w:p>
        </w:tc>
        <w:tc>
          <w:tcPr>
            <w:tcW w:type="dxa" w:w="800"/>
            <w:tcMar>
              <w:top w:w="80" w:type="dxa"/>
              <w:start w:w="120" w:type="dxa"/>
              <w:bottom w:w="80" w:type="dxa"/>
              <w:end w:w="120" w:type="dxa"/>
            </w:tcMar>
            <w:vAlign w:val="center"/>
          </w:tcPr>
          <w:p>
            <w:pPr>
              <w:spacing w:after="0" w:line="264" w:lineRule="auto"/>
            </w:pPr>
            <w:r>
              <w:rPr>
                <w:rFonts w:ascii="Calibri" w:hAnsi="Calibri"/>
                <w:b w:val="0"/>
                <w:i w:val="0"/>
                <w:color w:val="243B53"/>
                <w:sz w:val="18"/>
              </w:rPr>
              <w:t>14</w:t>
            </w:r>
          </w:p>
        </w:tc>
        <w:tc>
          <w:tcPr>
            <w:tcW w:type="dxa" w:w="3360"/>
            <w:tcMar>
              <w:top w:w="80" w:type="dxa"/>
              <w:start w:w="120" w:type="dxa"/>
              <w:bottom w:w="80" w:type="dxa"/>
              <w:end w:w="120" w:type="dxa"/>
            </w:tcMar>
            <w:vAlign w:val="center"/>
          </w:tcPr>
          <w:p>
            <w:pPr>
              <w:spacing w:after="0" w:line="264" w:lineRule="auto"/>
            </w:pPr>
            <w:r>
              <w:rPr>
                <w:rFonts w:ascii="Calibri" w:hAnsi="Calibri"/>
                <w:b w:val="0"/>
                <w:i w:val="0"/>
                <w:color w:val="243B53"/>
                <w:sz w:val="18"/>
              </w:rPr>
              <w:t>Minimal ordinary card spend and rapid depletion.</w:t>
            </w:r>
          </w:p>
        </w:tc>
      </w:tr>
      <w:tr>
        <w:tc>
          <w:tcPr>
            <w:tcW w:type="dxa" w:w="1700"/>
            <w:tcMar>
              <w:top w:w="80" w:type="dxa"/>
              <w:start w:w="120" w:type="dxa"/>
              <w:bottom w:w="80" w:type="dxa"/>
              <w:end w:w="120" w:type="dxa"/>
            </w:tcMar>
            <w:vAlign w:val="center"/>
          </w:tcPr>
          <w:p>
            <w:pPr>
              <w:spacing w:after="0" w:line="264" w:lineRule="auto"/>
            </w:pPr>
            <w:r>
              <w:rPr>
                <w:rFonts w:ascii="Calibri" w:hAnsi="Calibri"/>
                <w:b w:val="0"/>
                <w:i w:val="0"/>
                <w:color w:val="243B53"/>
                <w:sz w:val="18"/>
              </w:rPr>
              <w:t>Geographic risk</w:t>
            </w:r>
          </w:p>
        </w:tc>
        <w:tc>
          <w:tcPr>
            <w:tcW w:type="dxa" w:w="3500"/>
            <w:tcMar>
              <w:top w:w="80" w:type="dxa"/>
              <w:start w:w="120" w:type="dxa"/>
              <w:bottom w:w="80" w:type="dxa"/>
              <w:end w:w="120" w:type="dxa"/>
            </w:tcMar>
            <w:vAlign w:val="center"/>
          </w:tcPr>
          <w:p>
            <w:pPr>
              <w:spacing w:after="0" w:line="264" w:lineRule="auto"/>
            </w:pPr>
            <w:r>
              <w:rPr>
                <w:rFonts w:ascii="Calibri" w:hAnsi="Calibri"/>
                <w:b w:val="0"/>
                <w:i w:val="0"/>
                <w:color w:val="243B53"/>
                <w:sz w:val="18"/>
              </w:rPr>
              <w:t>At least 3 worker countries plus foreign cash withdrawal.</w:t>
            </w:r>
          </w:p>
        </w:tc>
        <w:tc>
          <w:tcPr>
            <w:tcW w:type="dxa" w:w="800"/>
            <w:tcMar>
              <w:top w:w="80" w:type="dxa"/>
              <w:start w:w="120" w:type="dxa"/>
              <w:bottom w:w="80" w:type="dxa"/>
              <w:end w:w="120" w:type="dxa"/>
            </w:tcMar>
            <w:vAlign w:val="center"/>
          </w:tcPr>
          <w:p>
            <w:pPr>
              <w:spacing w:after="0" w:line="264" w:lineRule="auto"/>
            </w:pPr>
            <w:r>
              <w:rPr>
                <w:rFonts w:ascii="Calibri" w:hAnsi="Calibri"/>
                <w:b w:val="0"/>
                <w:i w:val="0"/>
                <w:color w:val="243B53"/>
                <w:sz w:val="18"/>
              </w:rPr>
              <w:t>12</w:t>
            </w:r>
          </w:p>
        </w:tc>
        <w:tc>
          <w:tcPr>
            <w:tcW w:type="dxa" w:w="3360"/>
            <w:tcMar>
              <w:top w:w="80" w:type="dxa"/>
              <w:start w:w="120" w:type="dxa"/>
              <w:bottom w:w="80" w:type="dxa"/>
              <w:end w:w="120" w:type="dxa"/>
            </w:tcMar>
            <w:vAlign w:val="center"/>
          </w:tcPr>
          <w:p>
            <w:pPr>
              <w:spacing w:after="0" w:line="264" w:lineRule="auto"/>
            </w:pPr>
            <w:r>
              <w:rPr>
                <w:rFonts w:ascii="Calibri" w:hAnsi="Calibri"/>
                <w:b w:val="0"/>
                <w:i w:val="0"/>
                <w:color w:val="243B53"/>
                <w:sz w:val="18"/>
              </w:rPr>
              <w:t>Cross-border recruitment corridor and out-of-country cash-out.</w:t>
            </w:r>
          </w:p>
        </w:tc>
      </w:tr>
      <w:tr>
        <w:tc>
          <w:tcPr>
            <w:tcW w:type="dxa" w:w="1700"/>
            <w:tcMar>
              <w:top w:w="80" w:type="dxa"/>
              <w:start w:w="120" w:type="dxa"/>
              <w:bottom w:w="80" w:type="dxa"/>
              <w:end w:w="120" w:type="dxa"/>
            </w:tcMar>
            <w:vAlign w:val="center"/>
          </w:tcPr>
          <w:p>
            <w:pPr>
              <w:spacing w:after="0" w:line="264" w:lineRule="auto"/>
            </w:pPr>
            <w:r>
              <w:rPr>
                <w:rFonts w:ascii="Calibri" w:hAnsi="Calibri"/>
                <w:b w:val="0"/>
                <w:i w:val="0"/>
                <w:color w:val="243B53"/>
                <w:sz w:val="18"/>
              </w:rPr>
              <w:t>Sector risk</w:t>
            </w:r>
          </w:p>
        </w:tc>
        <w:tc>
          <w:tcPr>
            <w:tcW w:type="dxa" w:w="3500"/>
            <w:tcMar>
              <w:top w:w="80" w:type="dxa"/>
              <w:start w:w="120" w:type="dxa"/>
              <w:bottom w:w="80" w:type="dxa"/>
              <w:end w:w="120" w:type="dxa"/>
            </w:tcMar>
            <w:vAlign w:val="center"/>
          </w:tcPr>
          <w:p>
            <w:pPr>
              <w:spacing w:after="0" w:line="264" w:lineRule="auto"/>
            </w:pPr>
            <w:r>
              <w:rPr>
                <w:rFonts w:ascii="Calibri" w:hAnsi="Calibri"/>
                <w:b w:val="0"/>
                <w:i w:val="0"/>
                <w:color w:val="243B53"/>
                <w:sz w:val="18"/>
              </w:rPr>
              <w:t>Labour-intensive sector plus incomplete beneficial ownership.</w:t>
            </w:r>
          </w:p>
        </w:tc>
        <w:tc>
          <w:tcPr>
            <w:tcW w:type="dxa" w:w="800"/>
            <w:tcMar>
              <w:top w:w="80" w:type="dxa"/>
              <w:start w:w="120" w:type="dxa"/>
              <w:bottom w:w="80" w:type="dxa"/>
              <w:end w:w="120" w:type="dxa"/>
            </w:tcMar>
            <w:vAlign w:val="center"/>
          </w:tcPr>
          <w:p>
            <w:pPr>
              <w:spacing w:after="0" w:line="264" w:lineRule="auto"/>
            </w:pPr>
            <w:r>
              <w:rPr>
                <w:rFonts w:ascii="Calibri" w:hAnsi="Calibri"/>
                <w:b w:val="0"/>
                <w:i w:val="0"/>
                <w:color w:val="243B53"/>
                <w:sz w:val="18"/>
              </w:rPr>
              <w:t>8</w:t>
            </w:r>
          </w:p>
        </w:tc>
        <w:tc>
          <w:tcPr>
            <w:tcW w:type="dxa" w:w="3360"/>
            <w:tcMar>
              <w:top w:w="80" w:type="dxa"/>
              <w:start w:w="120" w:type="dxa"/>
              <w:bottom w:w="80" w:type="dxa"/>
              <w:end w:w="120" w:type="dxa"/>
            </w:tcMar>
            <w:vAlign w:val="center"/>
          </w:tcPr>
          <w:p>
            <w:pPr>
              <w:spacing w:after="0" w:line="264" w:lineRule="auto"/>
            </w:pPr>
            <w:r>
              <w:rPr>
                <w:rFonts w:ascii="Calibri" w:hAnsi="Calibri"/>
                <w:b w:val="0"/>
                <w:i w:val="0"/>
                <w:color w:val="243B53"/>
                <w:sz w:val="18"/>
              </w:rPr>
              <w:t>Construction account with incomplete ownership information.</w:t>
            </w:r>
          </w:p>
        </w:tc>
      </w:tr>
    </w:tbl>
    <w:p>
      <w:pPr>
        <w:spacing w:after="40"/>
      </w:pPr>
    </w:p>
    <w:p>
      <w:pPr>
        <w:pStyle w:val="Heading2"/>
        <w:keepNext/>
      </w:pPr>
      <w:r>
        <w:t>5.3 Account Network</w:t>
      </w:r>
    </w:p>
    <w:p>
      <w:pPr>
        <w:spacing w:after="120" w:line="300" w:lineRule="auto"/>
      </w:pPr>
      <w:r>
        <w:rPr>
          <w:rFonts w:ascii="Calibri" w:hAnsi="Calibri"/>
          <w:b/>
          <w:i w:val="0"/>
          <w:color w:val="243B53"/>
          <w:sz w:val="22"/>
        </w:rPr>
        <w:t>Purpose:</w:t>
      </w:r>
      <w:r>
        <w:rPr>
          <w:rFonts w:ascii="Calibri" w:hAnsi="Calibri"/>
          <w:b w:val="0"/>
          <w:i w:val="0"/>
          <w:color w:val="243B53"/>
          <w:sz w:val="22"/>
        </w:rPr>
        <w:t xml:space="preserve"> Move the investigation from isolated transactions to connected actors, accounts, and flows.</w:t>
      </w:r>
    </w:p>
    <w:p>
      <w:pPr>
        <w:spacing w:after="120" w:line="300" w:lineRule="auto"/>
      </w:pPr>
      <w:r>
        <w:rPr>
          <w:rFonts w:ascii="Calibri" w:hAnsi="Calibri"/>
          <w:b w:val="0"/>
          <w:i w:val="0"/>
          <w:color w:val="243B53"/>
          <w:sz w:val="22"/>
        </w:rPr>
        <w:t>The app queries vw_case_network and renders a radial Plotly graph centered on the primary account. Node labels use account display names where available. The graph is accompanied by a row-level edge table for evidentiary precision.</w:t>
      </w:r>
    </w:p>
    <w:tbl>
      <w:tblPr>
        <w:tblW w:type="dxa" w:w="9360"/>
        <w:tblLayout w:type="fixed"/>
        <w:tblLook w:firstColumn="1" w:firstRow="1" w:lastColumn="0" w:lastRow="0" w:noHBand="0" w:noVBand="1" w:val="04A0"/>
        <w:jc w:val="left"/>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1900"/>
        <w:gridCol w:w="3200"/>
        <w:gridCol w:w="4260"/>
      </w:tblGrid>
      <w:tr>
        <w:trPr>
          <w:tblHeader w:val="true"/>
        </w:trPr>
        <w:tc>
          <w:tcPr>
            <w:tcW w:type="dxa" w:w="1900"/>
            <w:tcMar>
              <w:top w:w="80" w:type="dxa"/>
              <w:start w:w="120" w:type="dxa"/>
              <w:bottom w:w="80" w:type="dxa"/>
              <w:end w:w="120" w:type="dxa"/>
            </w:tcMar>
            <w:vAlign w:val="center"/>
            <w:shd w:fill="E8EEF5"/>
          </w:tcPr>
          <w:p>
            <w:pPr>
              <w:spacing w:after="0"/>
            </w:pPr>
            <w:r>
              <w:rPr>
                <w:rFonts w:ascii="Calibri" w:hAnsi="Calibri"/>
                <w:b/>
                <w:i w:val="0"/>
                <w:color w:val="102A43"/>
                <w:sz w:val="19"/>
              </w:rPr>
              <w:t>Visual role</w:t>
            </w:r>
          </w:p>
        </w:tc>
        <w:tc>
          <w:tcPr>
            <w:tcW w:type="dxa" w:w="3200"/>
            <w:tcMar>
              <w:top w:w="80" w:type="dxa"/>
              <w:start w:w="120" w:type="dxa"/>
              <w:bottom w:w="80" w:type="dxa"/>
              <w:end w:w="120" w:type="dxa"/>
            </w:tcMar>
            <w:vAlign w:val="center"/>
            <w:shd w:fill="E8EEF5"/>
          </w:tcPr>
          <w:p>
            <w:pPr>
              <w:spacing w:after="0"/>
            </w:pPr>
            <w:r>
              <w:rPr>
                <w:rFonts w:ascii="Calibri" w:hAnsi="Calibri"/>
                <w:b/>
                <w:i w:val="0"/>
                <w:color w:val="102A43"/>
                <w:sz w:val="19"/>
              </w:rPr>
              <w:t>Classification logic</w:t>
            </w:r>
          </w:p>
        </w:tc>
        <w:tc>
          <w:tcPr>
            <w:tcW w:type="dxa" w:w="4260"/>
            <w:tcMar>
              <w:top w:w="80" w:type="dxa"/>
              <w:start w:w="120" w:type="dxa"/>
              <w:bottom w:w="80" w:type="dxa"/>
              <w:end w:w="120" w:type="dxa"/>
            </w:tcMar>
            <w:vAlign w:val="center"/>
            <w:shd w:fill="E8EEF5"/>
          </w:tcPr>
          <w:p>
            <w:pPr>
              <w:spacing w:after="0"/>
            </w:pPr>
            <w:r>
              <w:rPr>
                <w:rFonts w:ascii="Calibri" w:hAnsi="Calibri"/>
                <w:b/>
                <w:i w:val="0"/>
                <w:color w:val="102A43"/>
                <w:sz w:val="19"/>
              </w:rPr>
              <w:t>Typical interpretation</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243B53"/>
                <w:sz w:val="18"/>
              </w:rPr>
              <w:t>Primary employer</w:t>
            </w:r>
          </w:p>
        </w:tc>
        <w:tc>
          <w:tcPr>
            <w:tcW w:type="dxa" w:w="3200"/>
            <w:tcMar>
              <w:top w:w="80" w:type="dxa"/>
              <w:start w:w="120" w:type="dxa"/>
              <w:bottom w:w="80" w:type="dxa"/>
              <w:end w:w="120" w:type="dxa"/>
            </w:tcMar>
            <w:vAlign w:val="center"/>
          </w:tcPr>
          <w:p>
            <w:pPr>
              <w:spacing w:after="0" w:line="264" w:lineRule="auto"/>
            </w:pPr>
            <w:r>
              <w:rPr>
                <w:rFonts w:ascii="Calibri" w:hAnsi="Calibri"/>
                <w:b w:val="0"/>
                <w:i w:val="0"/>
                <w:color w:val="243B53"/>
                <w:sz w:val="18"/>
              </w:rPr>
              <w:t>Selected case account</w:t>
            </w:r>
          </w:p>
        </w:tc>
        <w:tc>
          <w:tcPr>
            <w:tcW w:type="dxa" w:w="4260"/>
            <w:tcMar>
              <w:top w:w="80" w:type="dxa"/>
              <w:start w:w="120" w:type="dxa"/>
              <w:bottom w:w="80" w:type="dxa"/>
              <w:end w:w="120" w:type="dxa"/>
            </w:tcMar>
            <w:vAlign w:val="center"/>
          </w:tcPr>
          <w:p>
            <w:pPr>
              <w:spacing w:after="0" w:line="264" w:lineRule="auto"/>
            </w:pPr>
            <w:r>
              <w:rPr>
                <w:rFonts w:ascii="Calibri" w:hAnsi="Calibri"/>
                <w:b w:val="0"/>
                <w:i w:val="0"/>
                <w:color w:val="243B53"/>
                <w:sz w:val="18"/>
              </w:rPr>
              <w:t>Origin of payroll and focal corporate account.</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243B53"/>
                <w:sz w:val="18"/>
              </w:rPr>
              <w:t>Worker</w:t>
            </w:r>
          </w:p>
        </w:tc>
        <w:tc>
          <w:tcPr>
            <w:tcW w:type="dxa" w:w="3200"/>
            <w:tcMar>
              <w:top w:w="80" w:type="dxa"/>
              <w:start w:w="120" w:type="dxa"/>
              <w:bottom w:w="80" w:type="dxa"/>
              <w:end w:w="120" w:type="dxa"/>
            </w:tcMar>
            <w:vAlign w:val="center"/>
          </w:tcPr>
          <w:p>
            <w:pPr>
              <w:spacing w:after="0" w:line="264" w:lineRule="auto"/>
            </w:pPr>
            <w:r>
              <w:rPr>
                <w:rFonts w:ascii="Calibri" w:hAnsi="Calibri"/>
                <w:b w:val="0"/>
                <w:i w:val="0"/>
                <w:color w:val="243B53"/>
                <w:sz w:val="18"/>
              </w:rPr>
              <w:t>Receives PAYROLL edge</w:t>
            </w:r>
          </w:p>
        </w:tc>
        <w:tc>
          <w:tcPr>
            <w:tcW w:type="dxa" w:w="4260"/>
            <w:tcMar>
              <w:top w:w="80" w:type="dxa"/>
              <w:start w:w="120" w:type="dxa"/>
              <w:bottom w:w="80" w:type="dxa"/>
              <w:end w:w="120" w:type="dxa"/>
            </w:tcMar>
            <w:vAlign w:val="center"/>
          </w:tcPr>
          <w:p>
            <w:pPr>
              <w:spacing w:after="0" w:line="264" w:lineRule="auto"/>
            </w:pPr>
            <w:r>
              <w:rPr>
                <w:rFonts w:ascii="Calibri" w:hAnsi="Calibri"/>
                <w:b w:val="0"/>
                <w:i w:val="0"/>
                <w:color w:val="243B53"/>
                <w:sz w:val="18"/>
              </w:rPr>
              <w:t>Individual wage recipient.</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243B53"/>
                <w:sz w:val="18"/>
              </w:rPr>
              <w:t>Controller</w:t>
            </w:r>
          </w:p>
        </w:tc>
        <w:tc>
          <w:tcPr>
            <w:tcW w:type="dxa" w:w="3200"/>
            <w:tcMar>
              <w:top w:w="80" w:type="dxa"/>
              <w:start w:w="120" w:type="dxa"/>
              <w:bottom w:w="80" w:type="dxa"/>
              <w:end w:w="120" w:type="dxa"/>
            </w:tcMar>
            <w:vAlign w:val="center"/>
          </w:tcPr>
          <w:p>
            <w:pPr>
              <w:spacing w:after="0" w:line="264" w:lineRule="auto"/>
            </w:pPr>
            <w:r>
              <w:rPr>
                <w:rFonts w:ascii="Calibri" w:hAnsi="Calibri"/>
                <w:b w:val="0"/>
                <w:i w:val="0"/>
                <w:color w:val="243B53"/>
                <w:sz w:val="18"/>
              </w:rPr>
              <w:t>Receives FUNDS_TO_CONTROLLER edge</w:t>
            </w:r>
          </w:p>
        </w:tc>
        <w:tc>
          <w:tcPr>
            <w:tcW w:type="dxa" w:w="4260"/>
            <w:tcMar>
              <w:top w:w="80" w:type="dxa"/>
              <w:start w:w="120" w:type="dxa"/>
              <w:bottom w:w="80" w:type="dxa"/>
              <w:end w:w="120" w:type="dxa"/>
            </w:tcMar>
            <w:vAlign w:val="center"/>
          </w:tcPr>
          <w:p>
            <w:pPr>
              <w:spacing w:after="0" w:line="264" w:lineRule="auto"/>
            </w:pPr>
            <w:r>
              <w:rPr>
                <w:rFonts w:ascii="Calibri" w:hAnsi="Calibri"/>
                <w:b w:val="0"/>
                <w:i w:val="0"/>
                <w:color w:val="243B53"/>
                <w:sz w:val="18"/>
              </w:rPr>
              <w:t>Common onward-transfer destination.</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243B53"/>
                <w:sz w:val="18"/>
              </w:rPr>
              <w:t>Funnel</w:t>
            </w:r>
          </w:p>
        </w:tc>
        <w:tc>
          <w:tcPr>
            <w:tcW w:type="dxa" w:w="3200"/>
            <w:tcMar>
              <w:top w:w="80" w:type="dxa"/>
              <w:start w:w="120" w:type="dxa"/>
              <w:bottom w:w="80" w:type="dxa"/>
              <w:end w:w="120" w:type="dxa"/>
            </w:tcMar>
            <w:vAlign w:val="center"/>
          </w:tcPr>
          <w:p>
            <w:pPr>
              <w:spacing w:after="0" w:line="264" w:lineRule="auto"/>
            </w:pPr>
            <w:r>
              <w:rPr>
                <w:rFonts w:ascii="Calibri" w:hAnsi="Calibri"/>
                <w:b w:val="0"/>
                <w:i w:val="0"/>
                <w:color w:val="243B53"/>
                <w:sz w:val="18"/>
              </w:rPr>
              <w:t>Receives CONSOLIDATION edge</w:t>
            </w:r>
          </w:p>
        </w:tc>
        <w:tc>
          <w:tcPr>
            <w:tcW w:type="dxa" w:w="4260"/>
            <w:tcMar>
              <w:top w:w="80" w:type="dxa"/>
              <w:start w:w="120" w:type="dxa"/>
              <w:bottom w:w="80" w:type="dxa"/>
              <w:end w:w="120" w:type="dxa"/>
            </w:tcMar>
            <w:vAlign w:val="center"/>
          </w:tcPr>
          <w:p>
            <w:pPr>
              <w:spacing w:after="0" w:line="264" w:lineRule="auto"/>
            </w:pPr>
            <w:r>
              <w:rPr>
                <w:rFonts w:ascii="Calibri" w:hAnsi="Calibri"/>
                <w:b w:val="0"/>
                <w:i w:val="0"/>
                <w:color w:val="243B53"/>
                <w:sz w:val="18"/>
              </w:rPr>
              <w:t>Account aggregating controlled funds.</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243B53"/>
                <w:sz w:val="18"/>
              </w:rPr>
              <w:t>Cash-out</w:t>
            </w:r>
          </w:p>
        </w:tc>
        <w:tc>
          <w:tcPr>
            <w:tcW w:type="dxa" w:w="3200"/>
            <w:tcMar>
              <w:top w:w="80" w:type="dxa"/>
              <w:start w:w="120" w:type="dxa"/>
              <w:bottom w:w="80" w:type="dxa"/>
              <w:end w:w="120" w:type="dxa"/>
            </w:tcMar>
            <w:vAlign w:val="center"/>
          </w:tcPr>
          <w:p>
            <w:pPr>
              <w:spacing w:after="0" w:line="264" w:lineRule="auto"/>
            </w:pPr>
            <w:r>
              <w:rPr>
                <w:rFonts w:ascii="Calibri" w:hAnsi="Calibri"/>
                <w:b w:val="0"/>
                <w:i w:val="0"/>
                <w:color w:val="243B53"/>
                <w:sz w:val="18"/>
              </w:rPr>
              <w:t>CASH_OUT edge or EXTERNAL_CASH</w:t>
            </w:r>
          </w:p>
        </w:tc>
        <w:tc>
          <w:tcPr>
            <w:tcW w:type="dxa" w:w="4260"/>
            <w:tcMar>
              <w:top w:w="80" w:type="dxa"/>
              <w:start w:w="120" w:type="dxa"/>
              <w:bottom w:w="80" w:type="dxa"/>
              <w:end w:w="120" w:type="dxa"/>
            </w:tcMar>
            <w:vAlign w:val="center"/>
          </w:tcPr>
          <w:p>
            <w:pPr>
              <w:spacing w:after="0" w:line="264" w:lineRule="auto"/>
            </w:pPr>
            <w:r>
              <w:rPr>
                <w:rFonts w:ascii="Calibri" w:hAnsi="Calibri"/>
                <w:b w:val="0"/>
                <w:i w:val="0"/>
                <w:color w:val="243B53"/>
                <w:sz w:val="18"/>
              </w:rPr>
              <w:t>Terminal withdrawal or external cash destination.</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243B53"/>
                <w:sz w:val="18"/>
              </w:rPr>
              <w:t>Connected</w:t>
            </w:r>
          </w:p>
        </w:tc>
        <w:tc>
          <w:tcPr>
            <w:tcW w:type="dxa" w:w="3200"/>
            <w:tcMar>
              <w:top w:w="80" w:type="dxa"/>
              <w:start w:w="120" w:type="dxa"/>
              <w:bottom w:w="80" w:type="dxa"/>
              <w:end w:w="120" w:type="dxa"/>
            </w:tcMar>
            <w:vAlign w:val="center"/>
          </w:tcPr>
          <w:p>
            <w:pPr>
              <w:spacing w:after="0" w:line="264" w:lineRule="auto"/>
            </w:pPr>
            <w:r>
              <w:rPr>
                <w:rFonts w:ascii="Calibri" w:hAnsi="Calibri"/>
                <w:b w:val="0"/>
                <w:i w:val="0"/>
                <w:color w:val="243B53"/>
                <w:sz w:val="18"/>
              </w:rPr>
              <w:t>Other relationship</w:t>
            </w:r>
          </w:p>
        </w:tc>
        <w:tc>
          <w:tcPr>
            <w:tcW w:type="dxa" w:w="4260"/>
            <w:tcMar>
              <w:top w:w="80" w:type="dxa"/>
              <w:start w:w="120" w:type="dxa"/>
              <w:bottom w:w="80" w:type="dxa"/>
              <w:end w:w="120" w:type="dxa"/>
            </w:tcMar>
            <w:vAlign w:val="center"/>
          </w:tcPr>
          <w:p>
            <w:pPr>
              <w:spacing w:after="0" w:line="264" w:lineRule="auto"/>
            </w:pPr>
            <w:r>
              <w:rPr>
                <w:rFonts w:ascii="Calibri" w:hAnsi="Calibri"/>
                <w:b w:val="0"/>
                <w:i w:val="0"/>
                <w:color w:val="243B53"/>
                <w:sz w:val="18"/>
              </w:rPr>
              <w:t>Additional contextual node.</w:t>
            </w:r>
          </w:p>
        </w:tc>
      </w:tr>
    </w:tbl>
    <w:p>
      <w:pPr>
        <w:spacing w:after="40"/>
      </w:pPr>
    </w:p>
    <w:p>
      <w:pPr>
        <w:numPr>
          <w:ilvl w:val="0"/>
          <w:numId w:val="10"/>
        </w:numPr>
        <w:spacing w:after="80" w:line="300" w:lineRule="auto"/>
      </w:pPr>
      <w:r>
        <w:rPr>
          <w:rFonts w:ascii="Calibri" w:hAnsi="Calibri"/>
          <w:b w:val="0"/>
          <w:i w:val="0"/>
          <w:color w:val="243B53"/>
          <w:sz w:val="22"/>
        </w:rPr>
        <w:t>Hovering a node reveals account ID and role.</w:t>
      </w:r>
    </w:p>
    <w:p>
      <w:pPr>
        <w:numPr>
          <w:ilvl w:val="0"/>
          <w:numId w:val="10"/>
        </w:numPr>
        <w:spacing w:after="80" w:line="300" w:lineRule="auto"/>
      </w:pPr>
      <w:r>
        <w:rPr>
          <w:rFonts w:ascii="Calibri" w:hAnsi="Calibri"/>
          <w:b w:val="0"/>
          <w:i w:val="0"/>
          <w:color w:val="243B53"/>
          <w:sz w:val="22"/>
        </w:rPr>
        <w:t>Hovering an edge reveals the relationship type.</w:t>
      </w:r>
    </w:p>
    <w:p>
      <w:pPr>
        <w:numPr>
          <w:ilvl w:val="0"/>
          <w:numId w:val="10"/>
        </w:numPr>
        <w:spacing w:after="80" w:line="300" w:lineRule="auto"/>
      </w:pPr>
      <w:r>
        <w:rPr>
          <w:rFonts w:ascii="Calibri" w:hAnsi="Calibri"/>
          <w:b w:val="0"/>
          <w:i w:val="0"/>
          <w:color w:val="243B53"/>
          <w:sz w:val="22"/>
        </w:rPr>
        <w:t>The supporting table provides source, target, relationship, event count, total amount, and evidence text.</w:t>
      </w:r>
    </w:p>
    <w:p>
      <w:pPr>
        <w:numPr>
          <w:ilvl w:val="0"/>
          <w:numId w:val="10"/>
        </w:numPr>
        <w:spacing w:after="80" w:line="300" w:lineRule="auto"/>
      </w:pPr>
      <w:r>
        <w:rPr>
          <w:rFonts w:ascii="Calibri" w:hAnsi="Calibri"/>
          <w:b w:val="0"/>
          <w:i w:val="0"/>
          <w:color w:val="243B53"/>
          <w:sz w:val="22"/>
        </w:rPr>
        <w:t>An empty network displays an informational state instead of a blank chart.</w:t>
      </w:r>
    </w:p>
    <w:p>
      <w:pPr>
        <w:pStyle w:val="Heading2"/>
        <w:keepNext/>
      </w:pPr>
      <w:r>
        <w:t>5.4 Evidence</w:t>
      </w:r>
    </w:p>
    <w:p>
      <w:pPr>
        <w:spacing w:after="120" w:line="300" w:lineRule="auto"/>
      </w:pPr>
      <w:r>
        <w:rPr>
          <w:rFonts w:ascii="Calibri" w:hAnsi="Calibri"/>
          <w:b/>
          <w:i w:val="0"/>
          <w:color w:val="243B53"/>
          <w:sz w:val="22"/>
        </w:rPr>
        <w:t>Purpose:</w:t>
      </w:r>
      <w:r>
        <w:rPr>
          <w:rFonts w:ascii="Calibri" w:hAnsi="Calibri"/>
          <w:b w:val="0"/>
          <w:i w:val="0"/>
          <w:color w:val="243B53"/>
          <w:sz w:val="22"/>
        </w:rPr>
        <w:t xml:space="preserve"> Let investigators reconcile three evidence domains without leaving the case workspace.</w:t>
      </w:r>
    </w:p>
    <w:p>
      <w:pPr>
        <w:pStyle w:val="Heading3"/>
        <w:keepNext/>
      </w:pPr>
      <w:r>
        <w:t>Documents subtab</w:t>
      </w:r>
    </w:p>
    <w:p>
      <w:pPr>
        <w:spacing w:after="120" w:line="300" w:lineRule="auto"/>
      </w:pPr>
      <w:r>
        <w:rPr>
          <w:rFonts w:ascii="Calibri" w:hAnsi="Calibri"/>
          <w:b w:val="0"/>
          <w:i w:val="0"/>
          <w:color w:val="243B53"/>
          <w:sz w:val="22"/>
        </w:rPr>
        <w:t>Displays document ID and type, file name, extraction confidence, parsed risk indicators, evidence summary, and review status. Semi-structured indicator arrays are converted into readable comma-separated labels.</w:t>
      </w:r>
    </w:p>
    <w:p>
      <w:pPr>
        <w:pStyle w:val="Heading3"/>
        <w:keepNext/>
      </w:pPr>
      <w:r>
        <w:t>External intelligence subtab</w:t>
      </w:r>
    </w:p>
    <w:p>
      <w:pPr>
        <w:spacing w:after="120" w:line="300" w:lineRule="auto"/>
      </w:pPr>
      <w:r>
        <w:rPr>
          <w:rFonts w:ascii="Calibri" w:hAnsi="Calibri"/>
          <w:b w:val="0"/>
          <w:i w:val="0"/>
          <w:color w:val="243B53"/>
          <w:sz w:val="22"/>
        </w:rPr>
        <w:t>Displays source type, matched entity, risk level, match strength, published date, summary, and clickable source URL. The query includes the primary account and accounts found on either side of the case network.</w:t>
      </w:r>
    </w:p>
    <w:p>
      <w:pPr>
        <w:pStyle w:val="Heading3"/>
        <w:keepNext/>
      </w:pPr>
      <w:r>
        <w:t>Transactions subtab</w:t>
      </w:r>
    </w:p>
    <w:p>
      <w:pPr>
        <w:spacing w:after="120" w:line="300" w:lineRule="auto"/>
      </w:pPr>
      <w:r>
        <w:rPr>
          <w:rFonts w:ascii="Calibri" w:hAnsi="Calibri"/>
          <w:b w:val="0"/>
          <w:i w:val="0"/>
          <w:color w:val="243B53"/>
          <w:sz w:val="22"/>
        </w:rPr>
        <w:t>Displays timestamp, source, destination, amount, currency, type, channel, country, and description for the primary account and network sources, ordered newest first.</w:t>
      </w:r>
    </w:p>
    <w:tbl>
      <w:tblPr>
        <w:tblW w:type="dxa" w:w="9360"/>
        <w:tblLayout w:type="fixed"/>
        <w:tblLook w:firstColumn="1" w:firstRow="1" w:lastColumn="0" w:lastRow="0" w:noHBand="0" w:noVBand="1" w:val="04A0"/>
        <w:jc w:val="left"/>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1900"/>
        <w:gridCol w:w="2400"/>
        <w:gridCol w:w="5060"/>
      </w:tblGrid>
      <w:tr>
        <w:trPr>
          <w:tblHeader w:val="true"/>
        </w:trPr>
        <w:tc>
          <w:tcPr>
            <w:tcW w:type="dxa" w:w="1900"/>
            <w:tcMar>
              <w:top w:w="80" w:type="dxa"/>
              <w:start w:w="120" w:type="dxa"/>
              <w:bottom w:w="80" w:type="dxa"/>
              <w:end w:w="120" w:type="dxa"/>
            </w:tcMar>
            <w:vAlign w:val="center"/>
            <w:shd w:fill="E8EEF5"/>
          </w:tcPr>
          <w:p>
            <w:pPr>
              <w:spacing w:after="0"/>
            </w:pPr>
            <w:r>
              <w:rPr>
                <w:rFonts w:ascii="Calibri" w:hAnsi="Calibri"/>
                <w:b/>
                <w:i w:val="0"/>
                <w:color w:val="102A43"/>
                <w:sz w:val="19"/>
              </w:rPr>
              <w:t>Evidence domain</w:t>
            </w:r>
          </w:p>
        </w:tc>
        <w:tc>
          <w:tcPr>
            <w:tcW w:type="dxa" w:w="2400"/>
            <w:tcMar>
              <w:top w:w="80" w:type="dxa"/>
              <w:start w:w="120" w:type="dxa"/>
              <w:bottom w:w="80" w:type="dxa"/>
              <w:end w:w="120" w:type="dxa"/>
            </w:tcMar>
            <w:vAlign w:val="center"/>
            <w:shd w:fill="E8EEF5"/>
          </w:tcPr>
          <w:p>
            <w:pPr>
              <w:spacing w:after="0"/>
            </w:pPr>
            <w:r>
              <w:rPr>
                <w:rFonts w:ascii="Calibri" w:hAnsi="Calibri"/>
                <w:b/>
                <w:i w:val="0"/>
                <w:color w:val="102A43"/>
                <w:sz w:val="19"/>
              </w:rPr>
              <w:t>Primary table</w:t>
            </w:r>
          </w:p>
        </w:tc>
        <w:tc>
          <w:tcPr>
            <w:tcW w:type="dxa" w:w="5060"/>
            <w:tcMar>
              <w:top w:w="80" w:type="dxa"/>
              <w:start w:w="120" w:type="dxa"/>
              <w:bottom w:w="80" w:type="dxa"/>
              <w:end w:w="120" w:type="dxa"/>
            </w:tcMar>
            <w:vAlign w:val="center"/>
            <w:shd w:fill="E8EEF5"/>
          </w:tcPr>
          <w:p>
            <w:pPr>
              <w:spacing w:after="0"/>
            </w:pPr>
            <w:r>
              <w:rPr>
                <w:rFonts w:ascii="Calibri" w:hAnsi="Calibri"/>
                <w:b/>
                <w:i w:val="0"/>
                <w:color w:val="102A43"/>
                <w:sz w:val="19"/>
              </w:rPr>
              <w:t>Investigation question</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243B53"/>
                <w:sz w:val="18"/>
              </w:rPr>
              <w:t>Documents</w:t>
            </w:r>
          </w:p>
        </w:tc>
        <w:tc>
          <w:tcPr>
            <w:tcW w:type="dxa" w:w="2400"/>
            <w:tcMar>
              <w:top w:w="80" w:type="dxa"/>
              <w:start w:w="120" w:type="dxa"/>
              <w:bottom w:w="80" w:type="dxa"/>
              <w:end w:w="120" w:type="dxa"/>
            </w:tcMar>
            <w:vAlign w:val="center"/>
          </w:tcPr>
          <w:p>
            <w:pPr>
              <w:spacing w:after="0" w:line="264" w:lineRule="auto"/>
            </w:pPr>
            <w:r>
              <w:rPr>
                <w:rFonts w:ascii="Calibri" w:hAnsi="Calibri"/>
                <w:b w:val="0"/>
                <w:i w:val="0"/>
                <w:color w:val="243B53"/>
                <w:sz w:val="18"/>
              </w:rPr>
              <w:t>document_evidence</w:t>
            </w:r>
          </w:p>
        </w:tc>
        <w:tc>
          <w:tcPr>
            <w:tcW w:type="dxa" w:w="5060"/>
            <w:tcMar>
              <w:top w:w="80" w:type="dxa"/>
              <w:start w:w="120" w:type="dxa"/>
              <w:bottom w:w="80" w:type="dxa"/>
              <w:end w:w="120" w:type="dxa"/>
            </w:tcMar>
            <w:vAlign w:val="center"/>
          </w:tcPr>
          <w:p>
            <w:pPr>
              <w:spacing w:after="0" w:line="264" w:lineRule="auto"/>
            </w:pPr>
            <w:r>
              <w:rPr>
                <w:rFonts w:ascii="Calibri" w:hAnsi="Calibri"/>
                <w:b w:val="0"/>
                <w:i w:val="0"/>
                <w:color w:val="243B53"/>
                <w:sz w:val="18"/>
              </w:rPr>
              <w:t>Do payroll, identity, contract, or accommodation records corroborate control or exploitation?</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243B53"/>
                <w:sz w:val="18"/>
              </w:rPr>
              <w:t>External intelligence</w:t>
            </w:r>
          </w:p>
        </w:tc>
        <w:tc>
          <w:tcPr>
            <w:tcW w:type="dxa" w:w="2400"/>
            <w:tcMar>
              <w:top w:w="80" w:type="dxa"/>
              <w:start w:w="120" w:type="dxa"/>
              <w:bottom w:w="80" w:type="dxa"/>
              <w:end w:w="120" w:type="dxa"/>
            </w:tcMar>
            <w:vAlign w:val="center"/>
          </w:tcPr>
          <w:p>
            <w:pPr>
              <w:spacing w:after="0" w:line="264" w:lineRule="auto"/>
            </w:pPr>
            <w:r>
              <w:rPr>
                <w:rFonts w:ascii="Calibri" w:hAnsi="Calibri"/>
                <w:b w:val="0"/>
                <w:i w:val="0"/>
                <w:color w:val="243B53"/>
                <w:sz w:val="18"/>
              </w:rPr>
              <w:t>external_watchlist</w:t>
            </w:r>
          </w:p>
        </w:tc>
        <w:tc>
          <w:tcPr>
            <w:tcW w:type="dxa" w:w="5060"/>
            <w:tcMar>
              <w:top w:w="80" w:type="dxa"/>
              <w:start w:w="120" w:type="dxa"/>
              <w:bottom w:w="80" w:type="dxa"/>
              <w:end w:w="120" w:type="dxa"/>
            </w:tcMar>
            <w:vAlign w:val="center"/>
          </w:tcPr>
          <w:p>
            <w:pPr>
              <w:spacing w:after="0" w:line="264" w:lineRule="auto"/>
            </w:pPr>
            <w:r>
              <w:rPr>
                <w:rFonts w:ascii="Calibri" w:hAnsi="Calibri"/>
                <w:b w:val="0"/>
                <w:i w:val="0"/>
                <w:color w:val="243B53"/>
                <w:sz w:val="18"/>
              </w:rPr>
              <w:t>Are connected entities associated with adverse media, sanctions, or other high-risk intelligence?</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243B53"/>
                <w:sz w:val="18"/>
              </w:rPr>
              <w:t>Transactions</w:t>
            </w:r>
          </w:p>
        </w:tc>
        <w:tc>
          <w:tcPr>
            <w:tcW w:type="dxa" w:w="2400"/>
            <w:tcMar>
              <w:top w:w="80" w:type="dxa"/>
              <w:start w:w="120" w:type="dxa"/>
              <w:bottom w:w="80" w:type="dxa"/>
              <w:end w:w="120" w:type="dxa"/>
            </w:tcMar>
            <w:vAlign w:val="center"/>
          </w:tcPr>
          <w:p>
            <w:pPr>
              <w:spacing w:after="0" w:line="264" w:lineRule="auto"/>
            </w:pPr>
            <w:r>
              <w:rPr>
                <w:rFonts w:ascii="Calibri" w:hAnsi="Calibri"/>
                <w:b w:val="0"/>
                <w:i w:val="0"/>
                <w:color w:val="243B53"/>
                <w:sz w:val="18"/>
              </w:rPr>
              <w:t>transactions</w:t>
            </w:r>
          </w:p>
        </w:tc>
        <w:tc>
          <w:tcPr>
            <w:tcW w:type="dxa" w:w="5060"/>
            <w:tcMar>
              <w:top w:w="80" w:type="dxa"/>
              <w:start w:w="120" w:type="dxa"/>
              <w:bottom w:w="80" w:type="dxa"/>
              <w:end w:w="120" w:type="dxa"/>
            </w:tcMar>
            <w:vAlign w:val="center"/>
          </w:tcPr>
          <w:p>
            <w:pPr>
              <w:spacing w:after="0" w:line="264" w:lineRule="auto"/>
            </w:pPr>
            <w:r>
              <w:rPr>
                <w:rFonts w:ascii="Calibri" w:hAnsi="Calibri"/>
                <w:b w:val="0"/>
                <w:i w:val="0"/>
                <w:color w:val="243B53"/>
                <w:sz w:val="18"/>
              </w:rPr>
              <w:t>How did funds move, how quickly, through which channels, and to which geography?</w:t>
            </w:r>
          </w:p>
        </w:tc>
      </w:tr>
    </w:tbl>
    <w:p>
      <w:pPr>
        <w:spacing w:after="40"/>
      </w:pPr>
    </w:p>
    <w:p>
      <w:pPr>
        <w:pStyle w:val="Heading2"/>
        <w:keepNext/>
      </w:pPr>
      <w:r>
        <w:t>5.5 Risk Score</w:t>
      </w:r>
    </w:p>
    <w:p>
      <w:pPr>
        <w:spacing w:after="120" w:line="300" w:lineRule="auto"/>
      </w:pPr>
      <w:r>
        <w:rPr>
          <w:rFonts w:ascii="Calibri" w:hAnsi="Calibri"/>
          <w:b/>
          <w:i w:val="0"/>
          <w:color w:val="243B53"/>
          <w:sz w:val="22"/>
        </w:rPr>
        <w:t>Purpose:</w:t>
      </w:r>
      <w:r>
        <w:rPr>
          <w:rFonts w:ascii="Calibri" w:hAnsi="Calibri"/>
          <w:b w:val="0"/>
          <w:i w:val="0"/>
          <w:color w:val="243B53"/>
          <w:sz w:val="22"/>
        </w:rPr>
        <w:t xml:space="preserve"> Make the 0-100 score challengeable, reproducible, and traceable to visible evidence.</w:t>
      </w:r>
    </w:p>
    <w:p>
      <w:pPr>
        <w:spacing w:after="120" w:line="300" w:lineRule="auto"/>
      </w:pPr>
      <w:r>
        <w:rPr>
          <w:rFonts w:ascii="Calibri" w:hAnsi="Calibri"/>
          <w:b w:val="0"/>
          <w:i w:val="0"/>
          <w:color w:val="243B53"/>
          <w:sz w:val="22"/>
        </w:rPr>
        <w:t>The score equals detected typology points plus external-intelligence corroboration and document-evidence corroboration, capped at 100. The score card shows band, evidence strength, and scoring version. A horizontal bar chart displays the component object stored in score_breakdown.</w:t>
      </w:r>
    </w:p>
    <w:tbl>
      <w:tblPr>
        <w:tblW w:type="dxa" w:w="9360"/>
        <w:tblLayout w:type="fixed"/>
        <w:tblLook w:firstColumn="1" w:firstRow="1" w:lastColumn="0" w:lastRow="0" w:noHBand="0" w:noVBand="1" w:val="04A0"/>
        <w:jc w:val="left"/>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2500"/>
        <w:gridCol w:w="1500"/>
        <w:gridCol w:w="1700"/>
        <w:gridCol w:w="3660"/>
      </w:tblGrid>
      <w:tr>
        <w:trPr>
          <w:tblHeader w:val="true"/>
        </w:trPr>
        <w:tc>
          <w:tcPr>
            <w:tcW w:type="dxa" w:w="2500"/>
            <w:tcMar>
              <w:top w:w="80" w:type="dxa"/>
              <w:start w:w="120" w:type="dxa"/>
              <w:bottom w:w="80" w:type="dxa"/>
              <w:end w:w="120" w:type="dxa"/>
            </w:tcMar>
            <w:vAlign w:val="center"/>
            <w:shd w:fill="E8EEF5"/>
          </w:tcPr>
          <w:p>
            <w:pPr>
              <w:spacing w:after="0"/>
            </w:pPr>
            <w:r>
              <w:rPr>
                <w:rFonts w:ascii="Calibri" w:hAnsi="Calibri"/>
                <w:b/>
                <w:i w:val="0"/>
                <w:color w:val="102A43"/>
                <w:sz w:val="19"/>
              </w:rPr>
              <w:t>Component</w:t>
            </w:r>
          </w:p>
        </w:tc>
        <w:tc>
          <w:tcPr>
            <w:tcW w:type="dxa" w:w="1500"/>
            <w:tcMar>
              <w:top w:w="80" w:type="dxa"/>
              <w:start w:w="120" w:type="dxa"/>
              <w:bottom w:w="80" w:type="dxa"/>
              <w:end w:w="120" w:type="dxa"/>
            </w:tcMar>
            <w:vAlign w:val="center"/>
            <w:shd w:fill="E8EEF5"/>
          </w:tcPr>
          <w:p>
            <w:pPr>
              <w:spacing w:after="0"/>
            </w:pPr>
            <w:r>
              <w:rPr>
                <w:rFonts w:ascii="Calibri" w:hAnsi="Calibri"/>
                <w:b/>
                <w:i w:val="0"/>
                <w:color w:val="102A43"/>
                <w:sz w:val="19"/>
              </w:rPr>
              <w:t>Maximum</w:t>
            </w:r>
          </w:p>
        </w:tc>
        <w:tc>
          <w:tcPr>
            <w:tcW w:type="dxa" w:w="1700"/>
            <w:tcMar>
              <w:top w:w="80" w:type="dxa"/>
              <w:start w:w="120" w:type="dxa"/>
              <w:bottom w:w="80" w:type="dxa"/>
              <w:end w:w="120" w:type="dxa"/>
            </w:tcMar>
            <w:vAlign w:val="center"/>
            <w:shd w:fill="E8EEF5"/>
          </w:tcPr>
          <w:p>
            <w:pPr>
              <w:spacing w:after="0"/>
            </w:pPr>
            <w:r>
              <w:rPr>
                <w:rFonts w:ascii="Calibri" w:hAnsi="Calibri"/>
                <w:b/>
                <w:i w:val="0"/>
                <w:color w:val="102A43"/>
                <w:sz w:val="19"/>
              </w:rPr>
              <w:t>CASE-C003</w:t>
            </w:r>
          </w:p>
        </w:tc>
        <w:tc>
          <w:tcPr>
            <w:tcW w:type="dxa" w:w="3660"/>
            <w:tcMar>
              <w:top w:w="80" w:type="dxa"/>
              <w:start w:w="120" w:type="dxa"/>
              <w:bottom w:w="80" w:type="dxa"/>
              <w:end w:w="120" w:type="dxa"/>
            </w:tcMar>
            <w:vAlign w:val="center"/>
            <w:shd w:fill="E8EEF5"/>
          </w:tcPr>
          <w:p>
            <w:pPr>
              <w:spacing w:after="0"/>
            </w:pPr>
            <w:r>
              <w:rPr>
                <w:rFonts w:ascii="Calibri" w:hAnsi="Calibri"/>
                <w:b/>
                <w:i w:val="0"/>
                <w:color w:val="102A43"/>
                <w:sz w:val="19"/>
              </w:rPr>
              <w:t>Source</w:t>
            </w:r>
          </w:p>
        </w:tc>
      </w:tr>
      <w:tr>
        <w:tc>
          <w:tcPr>
            <w:tcW w:type="dxa" w:w="2500"/>
            <w:tcMar>
              <w:top w:w="80" w:type="dxa"/>
              <w:start w:w="120" w:type="dxa"/>
              <w:bottom w:w="80" w:type="dxa"/>
              <w:end w:w="120" w:type="dxa"/>
            </w:tcMar>
            <w:vAlign w:val="center"/>
          </w:tcPr>
          <w:p>
            <w:pPr>
              <w:spacing w:after="0" w:line="264" w:lineRule="auto"/>
            </w:pPr>
            <w:r>
              <w:rPr>
                <w:rFonts w:ascii="Calibri" w:hAnsi="Calibri"/>
                <w:b w:val="0"/>
                <w:i w:val="0"/>
                <w:color w:val="243B53"/>
                <w:sz w:val="18"/>
              </w:rPr>
              <w:t>Wage harvesting</w:t>
            </w:r>
          </w:p>
        </w:tc>
        <w:tc>
          <w:tcPr>
            <w:tcW w:type="dxa" w:w="1500"/>
            <w:tcMar>
              <w:top w:w="80" w:type="dxa"/>
              <w:start w:w="120" w:type="dxa"/>
              <w:bottom w:w="80" w:type="dxa"/>
              <w:end w:w="120" w:type="dxa"/>
            </w:tcMar>
            <w:vAlign w:val="center"/>
          </w:tcPr>
          <w:p>
            <w:pPr>
              <w:spacing w:after="0" w:line="264" w:lineRule="auto"/>
            </w:pPr>
            <w:r>
              <w:rPr>
                <w:rFonts w:ascii="Calibri" w:hAnsi="Calibri"/>
                <w:b w:val="0"/>
                <w:i w:val="0"/>
                <w:color w:val="243B53"/>
                <w:sz w:val="18"/>
              </w:rPr>
              <w:t>25</w:t>
            </w:r>
          </w:p>
        </w:tc>
        <w:tc>
          <w:tcPr>
            <w:tcW w:type="dxa" w:w="1700"/>
            <w:tcMar>
              <w:top w:w="80" w:type="dxa"/>
              <w:start w:w="120" w:type="dxa"/>
              <w:bottom w:w="80" w:type="dxa"/>
              <w:end w:w="120" w:type="dxa"/>
            </w:tcMar>
            <w:vAlign w:val="center"/>
          </w:tcPr>
          <w:p>
            <w:pPr>
              <w:spacing w:after="0" w:line="264" w:lineRule="auto"/>
            </w:pPr>
            <w:r>
              <w:rPr>
                <w:rFonts w:ascii="Calibri" w:hAnsi="Calibri"/>
                <w:b w:val="0"/>
                <w:i w:val="0"/>
                <w:color w:val="243B53"/>
                <w:sz w:val="18"/>
              </w:rPr>
              <w:t>25</w:t>
            </w:r>
          </w:p>
        </w:tc>
        <w:tc>
          <w:tcPr>
            <w:tcW w:type="dxa" w:w="3660"/>
            <w:tcMar>
              <w:top w:w="80" w:type="dxa"/>
              <w:start w:w="120" w:type="dxa"/>
              <w:bottom w:w="80" w:type="dxa"/>
              <w:end w:w="120" w:type="dxa"/>
            </w:tcMar>
            <w:vAlign w:val="center"/>
          </w:tcPr>
          <w:p>
            <w:pPr>
              <w:spacing w:after="0" w:line="264" w:lineRule="auto"/>
            </w:pPr>
            <w:r>
              <w:rPr>
                <w:rFonts w:ascii="Calibri" w:hAnsi="Calibri"/>
                <w:b w:val="0"/>
                <w:i w:val="0"/>
                <w:color w:val="243B53"/>
                <w:sz w:val="18"/>
              </w:rPr>
              <w:t>vw_wage_harvesting_signals</w:t>
            </w:r>
          </w:p>
        </w:tc>
      </w:tr>
      <w:tr>
        <w:tc>
          <w:tcPr>
            <w:tcW w:type="dxa" w:w="2500"/>
            <w:tcMar>
              <w:top w:w="80" w:type="dxa"/>
              <w:start w:w="120" w:type="dxa"/>
              <w:bottom w:w="80" w:type="dxa"/>
              <w:end w:w="120" w:type="dxa"/>
            </w:tcMar>
            <w:vAlign w:val="center"/>
          </w:tcPr>
          <w:p>
            <w:pPr>
              <w:spacing w:after="0" w:line="264" w:lineRule="auto"/>
            </w:pPr>
            <w:r>
              <w:rPr>
                <w:rFonts w:ascii="Calibri" w:hAnsi="Calibri"/>
                <w:b w:val="0"/>
                <w:i w:val="0"/>
                <w:color w:val="243B53"/>
                <w:sz w:val="18"/>
              </w:rPr>
              <w:t>Account control</w:t>
            </w:r>
          </w:p>
        </w:tc>
        <w:tc>
          <w:tcPr>
            <w:tcW w:type="dxa" w:w="1500"/>
            <w:tcMar>
              <w:top w:w="80" w:type="dxa"/>
              <w:start w:w="120" w:type="dxa"/>
              <w:bottom w:w="80" w:type="dxa"/>
              <w:end w:w="120" w:type="dxa"/>
            </w:tcMar>
            <w:vAlign w:val="center"/>
          </w:tcPr>
          <w:p>
            <w:pPr>
              <w:spacing w:after="0" w:line="264" w:lineRule="auto"/>
            </w:pPr>
            <w:r>
              <w:rPr>
                <w:rFonts w:ascii="Calibri" w:hAnsi="Calibri"/>
                <w:b w:val="0"/>
                <w:i w:val="0"/>
                <w:color w:val="243B53"/>
                <w:sz w:val="18"/>
              </w:rPr>
              <w:t>25</w:t>
            </w:r>
          </w:p>
        </w:tc>
        <w:tc>
          <w:tcPr>
            <w:tcW w:type="dxa" w:w="1700"/>
            <w:tcMar>
              <w:top w:w="80" w:type="dxa"/>
              <w:start w:w="120" w:type="dxa"/>
              <w:bottom w:w="80" w:type="dxa"/>
              <w:end w:w="120" w:type="dxa"/>
            </w:tcMar>
            <w:vAlign w:val="center"/>
          </w:tcPr>
          <w:p>
            <w:pPr>
              <w:spacing w:after="0" w:line="264" w:lineRule="auto"/>
            </w:pPr>
            <w:r>
              <w:rPr>
                <w:rFonts w:ascii="Calibri" w:hAnsi="Calibri"/>
                <w:b w:val="0"/>
                <w:i w:val="0"/>
                <w:color w:val="243B53"/>
                <w:sz w:val="18"/>
              </w:rPr>
              <w:t>25</w:t>
            </w:r>
          </w:p>
        </w:tc>
        <w:tc>
          <w:tcPr>
            <w:tcW w:type="dxa" w:w="3660"/>
            <w:tcMar>
              <w:top w:w="80" w:type="dxa"/>
              <w:start w:w="120" w:type="dxa"/>
              <w:bottom w:w="80" w:type="dxa"/>
              <w:end w:w="120" w:type="dxa"/>
            </w:tcMar>
            <w:vAlign w:val="center"/>
          </w:tcPr>
          <w:p>
            <w:pPr>
              <w:spacing w:after="0" w:line="264" w:lineRule="auto"/>
            </w:pPr>
            <w:r>
              <w:rPr>
                <w:rFonts w:ascii="Calibri" w:hAnsi="Calibri"/>
                <w:b w:val="0"/>
                <w:i w:val="0"/>
                <w:color w:val="243B53"/>
                <w:sz w:val="18"/>
              </w:rPr>
              <w:t>vw_account_control_signals</w:t>
            </w:r>
          </w:p>
        </w:tc>
      </w:tr>
      <w:tr>
        <w:tc>
          <w:tcPr>
            <w:tcW w:type="dxa" w:w="2500"/>
            <w:tcMar>
              <w:top w:w="80" w:type="dxa"/>
              <w:start w:w="120" w:type="dxa"/>
              <w:bottom w:w="80" w:type="dxa"/>
              <w:end w:w="120" w:type="dxa"/>
            </w:tcMar>
            <w:vAlign w:val="center"/>
          </w:tcPr>
          <w:p>
            <w:pPr>
              <w:spacing w:after="0" w:line="264" w:lineRule="auto"/>
            </w:pPr>
            <w:r>
              <w:rPr>
                <w:rFonts w:ascii="Calibri" w:hAnsi="Calibri"/>
                <w:b w:val="0"/>
                <w:i w:val="0"/>
                <w:color w:val="243B53"/>
                <w:sz w:val="18"/>
              </w:rPr>
              <w:t>Spending anomaly</w:t>
            </w:r>
          </w:p>
        </w:tc>
        <w:tc>
          <w:tcPr>
            <w:tcW w:type="dxa" w:w="1500"/>
            <w:tcMar>
              <w:top w:w="80" w:type="dxa"/>
              <w:start w:w="120" w:type="dxa"/>
              <w:bottom w:w="80" w:type="dxa"/>
              <w:end w:w="120" w:type="dxa"/>
            </w:tcMar>
            <w:vAlign w:val="center"/>
          </w:tcPr>
          <w:p>
            <w:pPr>
              <w:spacing w:after="0" w:line="264" w:lineRule="auto"/>
            </w:pPr>
            <w:r>
              <w:rPr>
                <w:rFonts w:ascii="Calibri" w:hAnsi="Calibri"/>
                <w:b w:val="0"/>
                <w:i w:val="0"/>
                <w:color w:val="243B53"/>
                <w:sz w:val="18"/>
              </w:rPr>
              <w:t>14</w:t>
            </w:r>
          </w:p>
        </w:tc>
        <w:tc>
          <w:tcPr>
            <w:tcW w:type="dxa" w:w="1700"/>
            <w:tcMar>
              <w:top w:w="80" w:type="dxa"/>
              <w:start w:w="120" w:type="dxa"/>
              <w:bottom w:w="80" w:type="dxa"/>
              <w:end w:w="120" w:type="dxa"/>
            </w:tcMar>
            <w:vAlign w:val="center"/>
          </w:tcPr>
          <w:p>
            <w:pPr>
              <w:spacing w:after="0" w:line="264" w:lineRule="auto"/>
            </w:pPr>
            <w:r>
              <w:rPr>
                <w:rFonts w:ascii="Calibri" w:hAnsi="Calibri"/>
                <w:b w:val="0"/>
                <w:i w:val="0"/>
                <w:color w:val="243B53"/>
                <w:sz w:val="18"/>
              </w:rPr>
              <w:t>14</w:t>
            </w:r>
          </w:p>
        </w:tc>
        <w:tc>
          <w:tcPr>
            <w:tcW w:type="dxa" w:w="3660"/>
            <w:tcMar>
              <w:top w:w="80" w:type="dxa"/>
              <w:start w:w="120" w:type="dxa"/>
              <w:bottom w:w="80" w:type="dxa"/>
              <w:end w:w="120" w:type="dxa"/>
            </w:tcMar>
            <w:vAlign w:val="center"/>
          </w:tcPr>
          <w:p>
            <w:pPr>
              <w:spacing w:after="0" w:line="264" w:lineRule="auto"/>
            </w:pPr>
            <w:r>
              <w:rPr>
                <w:rFonts w:ascii="Calibri" w:hAnsi="Calibri"/>
                <w:b w:val="0"/>
                <w:i w:val="0"/>
                <w:color w:val="243B53"/>
                <w:sz w:val="18"/>
              </w:rPr>
              <w:t>vw_spending_anomaly_signals</w:t>
            </w:r>
          </w:p>
        </w:tc>
      </w:tr>
      <w:tr>
        <w:tc>
          <w:tcPr>
            <w:tcW w:type="dxa" w:w="2500"/>
            <w:tcMar>
              <w:top w:w="80" w:type="dxa"/>
              <w:start w:w="120" w:type="dxa"/>
              <w:bottom w:w="80" w:type="dxa"/>
              <w:end w:w="120" w:type="dxa"/>
            </w:tcMar>
            <w:vAlign w:val="center"/>
          </w:tcPr>
          <w:p>
            <w:pPr>
              <w:spacing w:after="0" w:line="264" w:lineRule="auto"/>
            </w:pPr>
            <w:r>
              <w:rPr>
                <w:rFonts w:ascii="Calibri" w:hAnsi="Calibri"/>
                <w:b w:val="0"/>
                <w:i w:val="0"/>
                <w:color w:val="243B53"/>
                <w:sz w:val="18"/>
              </w:rPr>
              <w:t>Geographic risk</w:t>
            </w:r>
          </w:p>
        </w:tc>
        <w:tc>
          <w:tcPr>
            <w:tcW w:type="dxa" w:w="1500"/>
            <w:tcMar>
              <w:top w:w="80" w:type="dxa"/>
              <w:start w:w="120" w:type="dxa"/>
              <w:bottom w:w="80" w:type="dxa"/>
              <w:end w:w="120" w:type="dxa"/>
            </w:tcMar>
            <w:vAlign w:val="center"/>
          </w:tcPr>
          <w:p>
            <w:pPr>
              <w:spacing w:after="0" w:line="264" w:lineRule="auto"/>
            </w:pPr>
            <w:r>
              <w:rPr>
                <w:rFonts w:ascii="Calibri" w:hAnsi="Calibri"/>
                <w:b w:val="0"/>
                <w:i w:val="0"/>
                <w:color w:val="243B53"/>
                <w:sz w:val="18"/>
              </w:rPr>
              <w:t>12</w:t>
            </w:r>
          </w:p>
        </w:tc>
        <w:tc>
          <w:tcPr>
            <w:tcW w:type="dxa" w:w="1700"/>
            <w:tcMar>
              <w:top w:w="80" w:type="dxa"/>
              <w:start w:w="120" w:type="dxa"/>
              <w:bottom w:w="80" w:type="dxa"/>
              <w:end w:w="120" w:type="dxa"/>
            </w:tcMar>
            <w:vAlign w:val="center"/>
          </w:tcPr>
          <w:p>
            <w:pPr>
              <w:spacing w:after="0" w:line="264" w:lineRule="auto"/>
            </w:pPr>
            <w:r>
              <w:rPr>
                <w:rFonts w:ascii="Calibri" w:hAnsi="Calibri"/>
                <w:b w:val="0"/>
                <w:i w:val="0"/>
                <w:color w:val="243B53"/>
                <w:sz w:val="18"/>
              </w:rPr>
              <w:t>12</w:t>
            </w:r>
          </w:p>
        </w:tc>
        <w:tc>
          <w:tcPr>
            <w:tcW w:type="dxa" w:w="3660"/>
            <w:tcMar>
              <w:top w:w="80" w:type="dxa"/>
              <w:start w:w="120" w:type="dxa"/>
              <w:bottom w:w="80" w:type="dxa"/>
              <w:end w:w="120" w:type="dxa"/>
            </w:tcMar>
            <w:vAlign w:val="center"/>
          </w:tcPr>
          <w:p>
            <w:pPr>
              <w:spacing w:after="0" w:line="264" w:lineRule="auto"/>
            </w:pPr>
            <w:r>
              <w:rPr>
                <w:rFonts w:ascii="Calibri" w:hAnsi="Calibri"/>
                <w:b w:val="0"/>
                <w:i w:val="0"/>
                <w:color w:val="243B53"/>
                <w:sz w:val="18"/>
              </w:rPr>
              <w:t>vw_geographic_risk_signals</w:t>
            </w:r>
          </w:p>
        </w:tc>
      </w:tr>
      <w:tr>
        <w:tc>
          <w:tcPr>
            <w:tcW w:type="dxa" w:w="2500"/>
            <w:tcMar>
              <w:top w:w="80" w:type="dxa"/>
              <w:start w:w="120" w:type="dxa"/>
              <w:bottom w:w="80" w:type="dxa"/>
              <w:end w:w="120" w:type="dxa"/>
            </w:tcMar>
            <w:vAlign w:val="center"/>
          </w:tcPr>
          <w:p>
            <w:pPr>
              <w:spacing w:after="0" w:line="264" w:lineRule="auto"/>
            </w:pPr>
            <w:r>
              <w:rPr>
                <w:rFonts w:ascii="Calibri" w:hAnsi="Calibri"/>
                <w:b w:val="0"/>
                <w:i w:val="0"/>
                <w:color w:val="243B53"/>
                <w:sz w:val="18"/>
              </w:rPr>
              <w:t>Sector risk</w:t>
            </w:r>
          </w:p>
        </w:tc>
        <w:tc>
          <w:tcPr>
            <w:tcW w:type="dxa" w:w="1500"/>
            <w:tcMar>
              <w:top w:w="80" w:type="dxa"/>
              <w:start w:w="120" w:type="dxa"/>
              <w:bottom w:w="80" w:type="dxa"/>
              <w:end w:w="120" w:type="dxa"/>
            </w:tcMar>
            <w:vAlign w:val="center"/>
          </w:tcPr>
          <w:p>
            <w:pPr>
              <w:spacing w:after="0" w:line="264" w:lineRule="auto"/>
            </w:pPr>
            <w:r>
              <w:rPr>
                <w:rFonts w:ascii="Calibri" w:hAnsi="Calibri"/>
                <w:b w:val="0"/>
                <w:i w:val="0"/>
                <w:color w:val="243B53"/>
                <w:sz w:val="18"/>
              </w:rPr>
              <w:t>8</w:t>
            </w:r>
          </w:p>
        </w:tc>
        <w:tc>
          <w:tcPr>
            <w:tcW w:type="dxa" w:w="1700"/>
            <w:tcMar>
              <w:top w:w="80" w:type="dxa"/>
              <w:start w:w="120" w:type="dxa"/>
              <w:bottom w:w="80" w:type="dxa"/>
              <w:end w:w="120" w:type="dxa"/>
            </w:tcMar>
            <w:vAlign w:val="center"/>
          </w:tcPr>
          <w:p>
            <w:pPr>
              <w:spacing w:after="0" w:line="264" w:lineRule="auto"/>
            </w:pPr>
            <w:r>
              <w:rPr>
                <w:rFonts w:ascii="Calibri" w:hAnsi="Calibri"/>
                <w:b w:val="0"/>
                <w:i w:val="0"/>
                <w:color w:val="243B53"/>
                <w:sz w:val="18"/>
              </w:rPr>
              <w:t>8</w:t>
            </w:r>
          </w:p>
        </w:tc>
        <w:tc>
          <w:tcPr>
            <w:tcW w:type="dxa" w:w="3660"/>
            <w:tcMar>
              <w:top w:w="80" w:type="dxa"/>
              <w:start w:w="120" w:type="dxa"/>
              <w:bottom w:w="80" w:type="dxa"/>
              <w:end w:w="120" w:type="dxa"/>
            </w:tcMar>
            <w:vAlign w:val="center"/>
          </w:tcPr>
          <w:p>
            <w:pPr>
              <w:spacing w:after="0" w:line="264" w:lineRule="auto"/>
            </w:pPr>
            <w:r>
              <w:rPr>
                <w:rFonts w:ascii="Calibri" w:hAnsi="Calibri"/>
                <w:b w:val="0"/>
                <w:i w:val="0"/>
                <w:color w:val="243B53"/>
                <w:sz w:val="18"/>
              </w:rPr>
              <w:t>vw_sector_risk_signals</w:t>
            </w:r>
          </w:p>
        </w:tc>
      </w:tr>
      <w:tr>
        <w:tc>
          <w:tcPr>
            <w:tcW w:type="dxa" w:w="2500"/>
            <w:tcMar>
              <w:top w:w="80" w:type="dxa"/>
              <w:start w:w="120" w:type="dxa"/>
              <w:bottom w:w="80" w:type="dxa"/>
              <w:end w:w="120" w:type="dxa"/>
            </w:tcMar>
            <w:vAlign w:val="center"/>
          </w:tcPr>
          <w:p>
            <w:pPr>
              <w:spacing w:after="0" w:line="264" w:lineRule="auto"/>
            </w:pPr>
            <w:r>
              <w:rPr>
                <w:rFonts w:ascii="Calibri" w:hAnsi="Calibri"/>
                <w:b w:val="0"/>
                <w:i w:val="0"/>
                <w:color w:val="243B53"/>
                <w:sz w:val="18"/>
              </w:rPr>
              <w:t>External intelligence</w:t>
            </w:r>
          </w:p>
        </w:tc>
        <w:tc>
          <w:tcPr>
            <w:tcW w:type="dxa" w:w="1500"/>
            <w:tcMar>
              <w:top w:w="80" w:type="dxa"/>
              <w:start w:w="120" w:type="dxa"/>
              <w:bottom w:w="80" w:type="dxa"/>
              <w:end w:w="120" w:type="dxa"/>
            </w:tcMar>
            <w:vAlign w:val="center"/>
          </w:tcPr>
          <w:p>
            <w:pPr>
              <w:spacing w:after="0" w:line="264" w:lineRule="auto"/>
            </w:pPr>
            <w:r>
              <w:rPr>
                <w:rFonts w:ascii="Calibri" w:hAnsi="Calibri"/>
                <w:b w:val="0"/>
                <w:i w:val="0"/>
                <w:color w:val="243B53"/>
                <w:sz w:val="18"/>
              </w:rPr>
              <w:t>4</w:t>
            </w:r>
          </w:p>
        </w:tc>
        <w:tc>
          <w:tcPr>
            <w:tcW w:type="dxa" w:w="1700"/>
            <w:tcMar>
              <w:top w:w="80" w:type="dxa"/>
              <w:start w:w="120" w:type="dxa"/>
              <w:bottom w:w="80" w:type="dxa"/>
              <w:end w:w="120" w:type="dxa"/>
            </w:tcMar>
            <w:vAlign w:val="center"/>
          </w:tcPr>
          <w:p>
            <w:pPr>
              <w:spacing w:after="0" w:line="264" w:lineRule="auto"/>
            </w:pPr>
            <w:r>
              <w:rPr>
                <w:rFonts w:ascii="Calibri" w:hAnsi="Calibri"/>
                <w:b w:val="0"/>
                <w:i w:val="0"/>
                <w:color w:val="243B53"/>
                <w:sz w:val="18"/>
              </w:rPr>
              <w:t>4</w:t>
            </w:r>
          </w:p>
        </w:tc>
        <w:tc>
          <w:tcPr>
            <w:tcW w:type="dxa" w:w="3660"/>
            <w:tcMar>
              <w:top w:w="80" w:type="dxa"/>
              <w:start w:w="120" w:type="dxa"/>
              <w:bottom w:w="80" w:type="dxa"/>
              <w:end w:w="120" w:type="dxa"/>
            </w:tcMar>
            <w:vAlign w:val="center"/>
          </w:tcPr>
          <w:p>
            <w:pPr>
              <w:spacing w:after="0" w:line="264" w:lineRule="auto"/>
            </w:pPr>
            <w:r>
              <w:rPr>
                <w:rFonts w:ascii="Calibri" w:hAnsi="Calibri"/>
                <w:b w:val="0"/>
                <w:i w:val="0"/>
                <w:color w:val="243B53"/>
                <w:sz w:val="18"/>
              </w:rPr>
              <w:t>external_watchlist</w:t>
            </w:r>
          </w:p>
        </w:tc>
      </w:tr>
      <w:tr>
        <w:tc>
          <w:tcPr>
            <w:tcW w:type="dxa" w:w="2500"/>
            <w:tcMar>
              <w:top w:w="80" w:type="dxa"/>
              <w:start w:w="120" w:type="dxa"/>
              <w:bottom w:w="80" w:type="dxa"/>
              <w:end w:w="120" w:type="dxa"/>
            </w:tcMar>
            <w:vAlign w:val="center"/>
          </w:tcPr>
          <w:p>
            <w:pPr>
              <w:spacing w:after="0" w:line="264" w:lineRule="auto"/>
            </w:pPr>
            <w:r>
              <w:rPr>
                <w:rFonts w:ascii="Calibri" w:hAnsi="Calibri"/>
                <w:b w:val="0"/>
                <w:i w:val="0"/>
                <w:color w:val="243B53"/>
                <w:sz w:val="18"/>
              </w:rPr>
              <w:t>Document evidence</w:t>
            </w:r>
          </w:p>
        </w:tc>
        <w:tc>
          <w:tcPr>
            <w:tcW w:type="dxa" w:w="1500"/>
            <w:tcMar>
              <w:top w:w="80" w:type="dxa"/>
              <w:start w:w="120" w:type="dxa"/>
              <w:bottom w:w="80" w:type="dxa"/>
              <w:end w:w="120" w:type="dxa"/>
            </w:tcMar>
            <w:vAlign w:val="center"/>
          </w:tcPr>
          <w:p>
            <w:pPr>
              <w:spacing w:after="0" w:line="264" w:lineRule="auto"/>
            </w:pPr>
            <w:r>
              <w:rPr>
                <w:rFonts w:ascii="Calibri" w:hAnsi="Calibri"/>
                <w:b w:val="0"/>
                <w:i w:val="0"/>
                <w:color w:val="243B53"/>
                <w:sz w:val="18"/>
              </w:rPr>
              <w:t>4</w:t>
            </w:r>
          </w:p>
        </w:tc>
        <w:tc>
          <w:tcPr>
            <w:tcW w:type="dxa" w:w="1700"/>
            <w:tcMar>
              <w:top w:w="80" w:type="dxa"/>
              <w:start w:w="120" w:type="dxa"/>
              <w:bottom w:w="80" w:type="dxa"/>
              <w:end w:w="120" w:type="dxa"/>
            </w:tcMar>
            <w:vAlign w:val="center"/>
          </w:tcPr>
          <w:p>
            <w:pPr>
              <w:spacing w:after="0" w:line="264" w:lineRule="auto"/>
            </w:pPr>
            <w:r>
              <w:rPr>
                <w:rFonts w:ascii="Calibri" w:hAnsi="Calibri"/>
                <w:b w:val="0"/>
                <w:i w:val="0"/>
                <w:color w:val="243B53"/>
                <w:sz w:val="18"/>
              </w:rPr>
              <w:t>4</w:t>
            </w:r>
          </w:p>
        </w:tc>
        <w:tc>
          <w:tcPr>
            <w:tcW w:type="dxa" w:w="3660"/>
            <w:tcMar>
              <w:top w:w="80" w:type="dxa"/>
              <w:start w:w="120" w:type="dxa"/>
              <w:bottom w:w="80" w:type="dxa"/>
              <w:end w:w="120" w:type="dxa"/>
            </w:tcMar>
            <w:vAlign w:val="center"/>
          </w:tcPr>
          <w:p>
            <w:pPr>
              <w:spacing w:after="0" w:line="264" w:lineRule="auto"/>
            </w:pPr>
            <w:r>
              <w:rPr>
                <w:rFonts w:ascii="Calibri" w:hAnsi="Calibri"/>
                <w:b w:val="0"/>
                <w:i w:val="0"/>
                <w:color w:val="243B53"/>
                <w:sz w:val="18"/>
              </w:rPr>
              <w:t>document_evidence</w:t>
            </w:r>
          </w:p>
        </w:tc>
      </w:tr>
      <w:tr>
        <w:tc>
          <w:tcPr>
            <w:tcW w:type="dxa" w:w="2500"/>
            <w:tcMar>
              <w:top w:w="80" w:type="dxa"/>
              <w:start w:w="120" w:type="dxa"/>
              <w:bottom w:w="80" w:type="dxa"/>
              <w:end w:w="120" w:type="dxa"/>
            </w:tcMar>
            <w:vAlign w:val="center"/>
          </w:tcPr>
          <w:p>
            <w:pPr>
              <w:spacing w:after="0" w:line="264" w:lineRule="auto"/>
            </w:pPr>
            <w:r>
              <w:rPr>
                <w:rFonts w:ascii="Calibri" w:hAnsi="Calibri"/>
                <w:b w:val="0"/>
                <w:i w:val="0"/>
                <w:color w:val="243B53"/>
                <w:sz w:val="18"/>
              </w:rPr>
              <w:t>Total</w:t>
            </w:r>
          </w:p>
        </w:tc>
        <w:tc>
          <w:tcPr>
            <w:tcW w:type="dxa" w:w="1500"/>
            <w:tcMar>
              <w:top w:w="80" w:type="dxa"/>
              <w:start w:w="120" w:type="dxa"/>
              <w:bottom w:w="80" w:type="dxa"/>
              <w:end w:w="120" w:type="dxa"/>
            </w:tcMar>
            <w:vAlign w:val="center"/>
          </w:tcPr>
          <w:p>
            <w:pPr>
              <w:spacing w:after="0" w:line="264" w:lineRule="auto"/>
            </w:pPr>
            <w:r>
              <w:rPr>
                <w:rFonts w:ascii="Calibri" w:hAnsi="Calibri"/>
                <w:b w:val="0"/>
                <w:i w:val="0"/>
                <w:color w:val="243B53"/>
                <w:sz w:val="18"/>
              </w:rPr>
              <w:t>100</w:t>
            </w:r>
          </w:p>
        </w:tc>
        <w:tc>
          <w:tcPr>
            <w:tcW w:type="dxa" w:w="1700"/>
            <w:tcMar>
              <w:top w:w="80" w:type="dxa"/>
              <w:start w:w="120" w:type="dxa"/>
              <w:bottom w:w="80" w:type="dxa"/>
              <w:end w:w="120" w:type="dxa"/>
            </w:tcMar>
            <w:vAlign w:val="center"/>
          </w:tcPr>
          <w:p>
            <w:pPr>
              <w:spacing w:after="0" w:line="264" w:lineRule="auto"/>
            </w:pPr>
            <w:r>
              <w:rPr>
                <w:rFonts w:ascii="Calibri" w:hAnsi="Calibri"/>
                <w:b w:val="0"/>
                <w:i w:val="0"/>
                <w:color w:val="243B53"/>
                <w:sz w:val="18"/>
              </w:rPr>
              <w:t>92</w:t>
            </w:r>
          </w:p>
        </w:tc>
        <w:tc>
          <w:tcPr>
            <w:tcW w:type="dxa" w:w="3660"/>
            <w:tcMar>
              <w:top w:w="80" w:type="dxa"/>
              <w:start w:w="120" w:type="dxa"/>
              <w:bottom w:w="80" w:type="dxa"/>
              <w:end w:w="120" w:type="dxa"/>
            </w:tcMar>
            <w:vAlign w:val="center"/>
          </w:tcPr>
          <w:p>
            <w:pPr>
              <w:spacing w:after="0" w:line="264" w:lineRule="auto"/>
            </w:pPr>
            <w:r>
              <w:rPr>
                <w:rFonts w:ascii="Calibri" w:hAnsi="Calibri"/>
                <w:b w:val="0"/>
                <w:i w:val="0"/>
                <w:color w:val="243B53"/>
                <w:sz w:val="18"/>
              </w:rPr>
              <w:t>vw_case_risk_summary</w:t>
            </w:r>
          </w:p>
        </w:tc>
      </w:tr>
    </w:tbl>
    <w:p>
      <w:pPr>
        <w:spacing w:after="40"/>
      </w:pPr>
    </w:p>
    <w:tbl>
      <w:tblPr>
        <w:tblW w:type="dxa" w:w="9360"/>
        <w:tblLayout w:type="fixed"/>
        <w:tblLook w:firstColumn="1" w:firstRow="1" w:lastColumn="0" w:lastRow="0" w:noHBand="0" w:noVBand="1" w:val="04A0"/>
        <w:jc w:val="left"/>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2000"/>
        <w:gridCol w:w="2200"/>
        <w:gridCol w:w="5160"/>
      </w:tblGrid>
      <w:tr>
        <w:trPr>
          <w:tblHeader w:val="true"/>
        </w:trPr>
        <w:tc>
          <w:tcPr>
            <w:tcW w:type="dxa" w:w="2000"/>
            <w:tcMar>
              <w:top w:w="80" w:type="dxa"/>
              <w:start w:w="120" w:type="dxa"/>
              <w:bottom w:w="80" w:type="dxa"/>
              <w:end w:w="120" w:type="dxa"/>
            </w:tcMar>
            <w:vAlign w:val="center"/>
            <w:shd w:fill="E8EEF5"/>
          </w:tcPr>
          <w:p>
            <w:pPr>
              <w:spacing w:after="0"/>
            </w:pPr>
            <w:r>
              <w:rPr>
                <w:rFonts w:ascii="Calibri" w:hAnsi="Calibri"/>
                <w:b/>
                <w:i w:val="0"/>
                <w:color w:val="102A43"/>
                <w:sz w:val="19"/>
              </w:rPr>
              <w:t>Score range</w:t>
            </w:r>
          </w:p>
        </w:tc>
        <w:tc>
          <w:tcPr>
            <w:tcW w:type="dxa" w:w="2200"/>
            <w:tcMar>
              <w:top w:w="80" w:type="dxa"/>
              <w:start w:w="120" w:type="dxa"/>
              <w:bottom w:w="80" w:type="dxa"/>
              <w:end w:w="120" w:type="dxa"/>
            </w:tcMar>
            <w:vAlign w:val="center"/>
            <w:shd w:fill="E8EEF5"/>
          </w:tcPr>
          <w:p>
            <w:pPr>
              <w:spacing w:after="0"/>
            </w:pPr>
            <w:r>
              <w:rPr>
                <w:rFonts w:ascii="Calibri" w:hAnsi="Calibri"/>
                <w:b/>
                <w:i w:val="0"/>
                <w:color w:val="102A43"/>
                <w:sz w:val="19"/>
              </w:rPr>
              <w:t>Risk band</w:t>
            </w:r>
          </w:p>
        </w:tc>
        <w:tc>
          <w:tcPr>
            <w:tcW w:type="dxa" w:w="5160"/>
            <w:tcMar>
              <w:top w:w="80" w:type="dxa"/>
              <w:start w:w="120" w:type="dxa"/>
              <w:bottom w:w="80" w:type="dxa"/>
              <w:end w:w="120" w:type="dxa"/>
            </w:tcMar>
            <w:vAlign w:val="center"/>
            <w:shd w:fill="E8EEF5"/>
          </w:tcPr>
          <w:p>
            <w:pPr>
              <w:spacing w:after="0"/>
            </w:pPr>
            <w:r>
              <w:rPr>
                <w:rFonts w:ascii="Calibri" w:hAnsi="Calibri"/>
                <w:b/>
                <w:i w:val="0"/>
                <w:color w:val="102A43"/>
                <w:sz w:val="19"/>
              </w:rPr>
              <w:t>Recommended route</w:t>
            </w:r>
          </w:p>
        </w:tc>
      </w:tr>
      <w:tr>
        <w:tc>
          <w:tcPr>
            <w:tcW w:type="dxa" w:w="2000"/>
            <w:tcMar>
              <w:top w:w="80" w:type="dxa"/>
              <w:start w:w="120" w:type="dxa"/>
              <w:bottom w:w="80" w:type="dxa"/>
              <w:end w:w="120" w:type="dxa"/>
            </w:tcMar>
            <w:vAlign w:val="center"/>
          </w:tcPr>
          <w:p>
            <w:pPr>
              <w:spacing w:after="0" w:line="264" w:lineRule="auto"/>
            </w:pPr>
            <w:r>
              <w:rPr>
                <w:rFonts w:ascii="Calibri" w:hAnsi="Calibri"/>
                <w:b w:val="0"/>
                <w:i w:val="0"/>
                <w:color w:val="243B53"/>
                <w:sz w:val="18"/>
              </w:rPr>
              <w:t>90-100</w:t>
            </w:r>
          </w:p>
        </w:tc>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CRITICAL</w:t>
            </w:r>
          </w:p>
        </w:tc>
        <w:tc>
          <w:tcPr>
            <w:tcW w:type="dxa" w:w="5160"/>
            <w:tcMar>
              <w:top w:w="80" w:type="dxa"/>
              <w:start w:w="120" w:type="dxa"/>
              <w:bottom w:w="80" w:type="dxa"/>
              <w:end w:w="120" w:type="dxa"/>
            </w:tcMar>
            <w:vAlign w:val="center"/>
          </w:tcPr>
          <w:p>
            <w:pPr>
              <w:spacing w:after="0" w:line="264" w:lineRule="auto"/>
            </w:pPr>
            <w:r>
              <w:rPr>
                <w:rFonts w:ascii="Calibri" w:hAnsi="Calibri"/>
                <w:b w:val="0"/>
                <w:i w:val="0"/>
                <w:color w:val="243B53"/>
                <w:sz w:val="18"/>
              </w:rPr>
              <w:t>ESCALATE_TO_SAR</w:t>
            </w:r>
          </w:p>
        </w:tc>
      </w:tr>
      <w:tr>
        <w:tc>
          <w:tcPr>
            <w:tcW w:type="dxa" w:w="2000"/>
            <w:tcMar>
              <w:top w:w="80" w:type="dxa"/>
              <w:start w:w="120" w:type="dxa"/>
              <w:bottom w:w="80" w:type="dxa"/>
              <w:end w:w="120" w:type="dxa"/>
            </w:tcMar>
            <w:vAlign w:val="center"/>
          </w:tcPr>
          <w:p>
            <w:pPr>
              <w:spacing w:after="0" w:line="264" w:lineRule="auto"/>
            </w:pPr>
            <w:r>
              <w:rPr>
                <w:rFonts w:ascii="Calibri" w:hAnsi="Calibri"/>
                <w:b w:val="0"/>
                <w:i w:val="0"/>
                <w:color w:val="243B53"/>
                <w:sz w:val="18"/>
              </w:rPr>
              <w:t>70-89</w:t>
            </w:r>
          </w:p>
        </w:tc>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HIGH</w:t>
            </w:r>
          </w:p>
        </w:tc>
        <w:tc>
          <w:tcPr>
            <w:tcW w:type="dxa" w:w="5160"/>
            <w:tcMar>
              <w:top w:w="80" w:type="dxa"/>
              <w:start w:w="120" w:type="dxa"/>
              <w:bottom w:w="80" w:type="dxa"/>
              <w:end w:w="120" w:type="dxa"/>
            </w:tcMar>
            <w:vAlign w:val="center"/>
          </w:tcPr>
          <w:p>
            <w:pPr>
              <w:spacing w:after="0" w:line="264" w:lineRule="auto"/>
            </w:pPr>
            <w:r>
              <w:rPr>
                <w:rFonts w:ascii="Calibri" w:hAnsi="Calibri"/>
                <w:b w:val="0"/>
                <w:i w:val="0"/>
                <w:color w:val="243B53"/>
                <w:sz w:val="18"/>
              </w:rPr>
              <w:t>REQUEST_MORE_EVIDENCE</w:t>
            </w:r>
          </w:p>
        </w:tc>
      </w:tr>
      <w:tr>
        <w:tc>
          <w:tcPr>
            <w:tcW w:type="dxa" w:w="2000"/>
            <w:tcMar>
              <w:top w:w="80" w:type="dxa"/>
              <w:start w:w="120" w:type="dxa"/>
              <w:bottom w:w="80" w:type="dxa"/>
              <w:end w:w="120" w:type="dxa"/>
            </w:tcMar>
            <w:vAlign w:val="center"/>
          </w:tcPr>
          <w:p>
            <w:pPr>
              <w:spacing w:after="0" w:line="264" w:lineRule="auto"/>
            </w:pPr>
            <w:r>
              <w:rPr>
                <w:rFonts w:ascii="Calibri" w:hAnsi="Calibri"/>
                <w:b w:val="0"/>
                <w:i w:val="0"/>
                <w:color w:val="243B53"/>
                <w:sz w:val="18"/>
              </w:rPr>
              <w:t>40-69</w:t>
            </w:r>
          </w:p>
        </w:tc>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MEDIUM</w:t>
            </w:r>
          </w:p>
        </w:tc>
        <w:tc>
          <w:tcPr>
            <w:tcW w:type="dxa" w:w="5160"/>
            <w:tcMar>
              <w:top w:w="80" w:type="dxa"/>
              <w:start w:w="120" w:type="dxa"/>
              <w:bottom w:w="80" w:type="dxa"/>
              <w:end w:w="120" w:type="dxa"/>
            </w:tcMar>
            <w:vAlign w:val="center"/>
          </w:tcPr>
          <w:p>
            <w:pPr>
              <w:spacing w:after="0" w:line="264" w:lineRule="auto"/>
            </w:pPr>
            <w:r>
              <w:rPr>
                <w:rFonts w:ascii="Calibri" w:hAnsi="Calibri"/>
                <w:b w:val="0"/>
                <w:i w:val="0"/>
                <w:color w:val="243B53"/>
                <w:sz w:val="18"/>
              </w:rPr>
              <w:t>MONITOR_CASE</w:t>
            </w:r>
          </w:p>
        </w:tc>
      </w:tr>
      <w:tr>
        <w:tc>
          <w:tcPr>
            <w:tcW w:type="dxa" w:w="2000"/>
            <w:tcMar>
              <w:top w:w="80" w:type="dxa"/>
              <w:start w:w="120" w:type="dxa"/>
              <w:bottom w:w="80" w:type="dxa"/>
              <w:end w:w="120" w:type="dxa"/>
            </w:tcMar>
            <w:vAlign w:val="center"/>
          </w:tcPr>
          <w:p>
            <w:pPr>
              <w:spacing w:after="0" w:line="264" w:lineRule="auto"/>
            </w:pPr>
            <w:r>
              <w:rPr>
                <w:rFonts w:ascii="Calibri" w:hAnsi="Calibri"/>
                <w:b w:val="0"/>
                <w:i w:val="0"/>
                <w:color w:val="243B53"/>
                <w:sz w:val="18"/>
              </w:rPr>
              <w:t>0-39</w:t>
            </w:r>
          </w:p>
        </w:tc>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LOW</w:t>
            </w:r>
          </w:p>
        </w:tc>
        <w:tc>
          <w:tcPr>
            <w:tcW w:type="dxa" w:w="5160"/>
            <w:tcMar>
              <w:top w:w="80" w:type="dxa"/>
              <w:start w:w="120" w:type="dxa"/>
              <w:bottom w:w="80" w:type="dxa"/>
              <w:end w:w="120" w:type="dxa"/>
            </w:tcMar>
            <w:vAlign w:val="center"/>
          </w:tcPr>
          <w:p>
            <w:pPr>
              <w:spacing w:after="0" w:line="264" w:lineRule="auto"/>
            </w:pPr>
            <w:r>
              <w:rPr>
                <w:rFonts w:ascii="Calibri" w:hAnsi="Calibri"/>
                <w:b w:val="0"/>
                <w:i w:val="0"/>
                <w:color w:val="243B53"/>
                <w:sz w:val="18"/>
              </w:rPr>
              <w:t>CLOSE_AS_FALSE_POSITIVE</w:t>
            </w:r>
          </w:p>
        </w:tc>
      </w:tr>
    </w:tbl>
    <w:p>
      <w:pPr>
        <w:spacing w:after="40"/>
      </w:pPr>
    </w:p>
    <w:tbl>
      <w:tblPr>
        <w:tblW w:type="dxa" w:w="9360"/>
        <w:jc w:val="left"/>
        <w:tblLayout w:type="fixed"/>
        <w:tblLook w:firstColumn="1" w:firstRow="1" w:lastColumn="0" w:lastRow="0" w:noHBand="0" w:noVBand="1" w:val="04A0"/>
        <w:tblInd w:w="120" w:type="dxa"/>
        <w:tblBorders>
          <w:top w:val="single" w:sz="8" w:color="0F766E"/>
          <w:left w:val="single" w:sz="8" w:color="0F766E"/>
          <w:bottom w:val="single" w:sz="8" w:color="0F766E"/>
          <w:right w:val="single" w:sz="8" w:color="0F766E"/>
          <w:insideH w:val="single" w:sz="8" w:color="0F766E"/>
          <w:insideV w:val="single" w:sz="8" w:color="0F766E"/>
        </w:tblBorders>
      </w:tblPr>
      <w:tblGrid>
        <w:gridCol w:w="9360"/>
      </w:tblGrid>
      <w:tr>
        <w:tc>
          <w:tcPr>
            <w:tcW w:type="dxa" w:w="9360"/>
            <w:tcMar>
              <w:top w:w="80" w:type="dxa"/>
              <w:start w:w="120" w:type="dxa"/>
              <w:bottom w:w="80" w:type="dxa"/>
              <w:end w:w="120" w:type="dxa"/>
            </w:tcMar>
            <w:vAlign w:val="center"/>
            <w:shd w:fill="ECFDF8"/>
          </w:tcPr>
          <w:p>
            <w:pPr>
              <w:spacing w:after="0" w:line="288" w:lineRule="auto"/>
            </w:pPr>
            <w:r>
              <w:rPr>
                <w:rFonts w:ascii="Calibri" w:hAnsi="Calibri"/>
                <w:b/>
                <w:i w:val="0"/>
                <w:color w:val="0F766E"/>
                <w:sz w:val="22"/>
              </w:rPr>
              <w:t xml:space="preserve">Human-control rule: </w:t>
            </w:r>
            <w:r>
              <w:rPr>
                <w:rFonts w:ascii="Calibri" w:hAnsi="Calibri"/>
                <w:b w:val="0"/>
                <w:i w:val="0"/>
                <w:color w:val="243B53"/>
                <w:sz w:val="22"/>
              </w:rPr>
              <w:t>The score recommends a route; it never files a SAR autonomously.</w:t>
            </w:r>
          </w:p>
        </w:tc>
      </w:tr>
    </w:tbl>
    <w:p>
      <w:pPr>
        <w:spacing w:after="20"/>
      </w:pPr>
    </w:p>
    <w:p>
      <w:pPr>
        <w:pStyle w:val="Heading2"/>
        <w:keepNext/>
      </w:pPr>
      <w:r>
        <w:t>5.6 Case Intelligence Brief</w:t>
      </w:r>
    </w:p>
    <w:p>
      <w:pPr>
        <w:spacing w:after="120" w:line="300" w:lineRule="auto"/>
      </w:pPr>
      <w:r>
        <w:rPr>
          <w:rFonts w:ascii="Calibri" w:hAnsi="Calibri"/>
          <w:b/>
          <w:i w:val="0"/>
          <w:color w:val="243B53"/>
          <w:sz w:val="22"/>
        </w:rPr>
        <w:t>Purpose:</w:t>
      </w:r>
      <w:r>
        <w:rPr>
          <w:rFonts w:ascii="Calibri" w:hAnsi="Calibri"/>
          <w:b w:val="0"/>
          <w:i w:val="0"/>
          <w:color w:val="243B53"/>
          <w:sz w:val="22"/>
        </w:rPr>
        <w:t xml:space="preserve"> Turn structured evidence into a concise investigation narrative while preserving the underlying evidence trail.</w:t>
      </w:r>
    </w:p>
    <w:tbl>
      <w:tblPr>
        <w:tblW w:type="dxa" w:w="9360"/>
        <w:tblLayout w:type="fixed"/>
        <w:tblLook w:firstColumn="1" w:firstRow="1" w:lastColumn="0" w:lastRow="0" w:noHBand="0" w:noVBand="1" w:val="04A0"/>
        <w:jc w:val="left"/>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2500"/>
        <w:gridCol w:w="6860"/>
      </w:tblGrid>
      <w:tr>
        <w:trPr>
          <w:tblHeader w:val="true"/>
        </w:trPr>
        <w:tc>
          <w:tcPr>
            <w:tcW w:type="dxa" w:w="2500"/>
            <w:tcMar>
              <w:top w:w="80" w:type="dxa"/>
              <w:start w:w="120" w:type="dxa"/>
              <w:bottom w:w="80" w:type="dxa"/>
              <w:end w:w="120" w:type="dxa"/>
            </w:tcMar>
            <w:vAlign w:val="center"/>
            <w:shd w:fill="E8EEF5"/>
          </w:tcPr>
          <w:p>
            <w:pPr>
              <w:spacing w:after="0"/>
            </w:pPr>
            <w:r>
              <w:rPr>
                <w:rFonts w:ascii="Calibri" w:hAnsi="Calibri"/>
                <w:b/>
                <w:i w:val="0"/>
                <w:color w:val="102A43"/>
                <w:sz w:val="19"/>
              </w:rPr>
              <w:t>Brief section</w:t>
            </w:r>
          </w:p>
        </w:tc>
        <w:tc>
          <w:tcPr>
            <w:tcW w:type="dxa" w:w="6860"/>
            <w:tcMar>
              <w:top w:w="80" w:type="dxa"/>
              <w:start w:w="120" w:type="dxa"/>
              <w:bottom w:w="80" w:type="dxa"/>
              <w:end w:w="120" w:type="dxa"/>
            </w:tcMar>
            <w:vAlign w:val="center"/>
            <w:shd w:fill="E8EEF5"/>
          </w:tcPr>
          <w:p>
            <w:pPr>
              <w:spacing w:after="0"/>
            </w:pPr>
            <w:r>
              <w:rPr>
                <w:rFonts w:ascii="Calibri" w:hAnsi="Calibri"/>
                <w:b/>
                <w:i w:val="0"/>
                <w:color w:val="102A43"/>
                <w:sz w:val="19"/>
              </w:rPr>
              <w:t>Functional content</w:t>
            </w:r>
          </w:p>
        </w:tc>
      </w:tr>
      <w:tr>
        <w:tc>
          <w:tcPr>
            <w:tcW w:type="dxa" w:w="2500"/>
            <w:tcMar>
              <w:top w:w="80" w:type="dxa"/>
              <w:start w:w="120" w:type="dxa"/>
              <w:bottom w:w="80" w:type="dxa"/>
              <w:end w:w="120" w:type="dxa"/>
            </w:tcMar>
            <w:vAlign w:val="center"/>
          </w:tcPr>
          <w:p>
            <w:pPr>
              <w:spacing w:after="0" w:line="264" w:lineRule="auto"/>
            </w:pPr>
            <w:r>
              <w:rPr>
                <w:rFonts w:ascii="Calibri" w:hAnsi="Calibri"/>
                <w:b w:val="0"/>
                <w:i w:val="0"/>
                <w:color w:val="243B53"/>
                <w:sz w:val="18"/>
              </w:rPr>
              <w:t>Executive summary</w:t>
            </w:r>
          </w:p>
        </w:tc>
        <w:tc>
          <w:tcPr>
            <w:tcW w:type="dxa" w:w="6860"/>
            <w:tcMar>
              <w:top w:w="80" w:type="dxa"/>
              <w:start w:w="120" w:type="dxa"/>
              <w:bottom w:w="80" w:type="dxa"/>
              <w:end w:w="120" w:type="dxa"/>
            </w:tcMar>
            <w:vAlign w:val="center"/>
          </w:tcPr>
          <w:p>
            <w:pPr>
              <w:spacing w:after="0" w:line="264" w:lineRule="auto"/>
            </w:pPr>
            <w:r>
              <w:rPr>
                <w:rFonts w:ascii="Calibri" w:hAnsi="Calibri"/>
                <w:b w:val="0"/>
                <w:i w:val="0"/>
                <w:color w:val="243B53"/>
                <w:sz w:val="18"/>
              </w:rPr>
              <w:t>High-level case condition, key linked activity, and current severity.</w:t>
            </w:r>
          </w:p>
        </w:tc>
      </w:tr>
      <w:tr>
        <w:tc>
          <w:tcPr>
            <w:tcW w:type="dxa" w:w="2500"/>
            <w:tcMar>
              <w:top w:w="80" w:type="dxa"/>
              <w:start w:w="120" w:type="dxa"/>
              <w:bottom w:w="80" w:type="dxa"/>
              <w:end w:w="120" w:type="dxa"/>
            </w:tcMar>
            <w:vAlign w:val="center"/>
          </w:tcPr>
          <w:p>
            <w:pPr>
              <w:spacing w:after="0" w:line="264" w:lineRule="auto"/>
            </w:pPr>
            <w:r>
              <w:rPr>
                <w:rFonts w:ascii="Calibri" w:hAnsi="Calibri"/>
                <w:b w:val="0"/>
                <w:i w:val="0"/>
                <w:color w:val="243B53"/>
                <w:sz w:val="18"/>
              </w:rPr>
              <w:t>Suspicion hypothesis</w:t>
            </w:r>
          </w:p>
        </w:tc>
        <w:tc>
          <w:tcPr>
            <w:tcW w:type="dxa" w:w="6860"/>
            <w:tcMar>
              <w:top w:w="80" w:type="dxa"/>
              <w:start w:w="120" w:type="dxa"/>
              <w:bottom w:w="80" w:type="dxa"/>
              <w:end w:w="120" w:type="dxa"/>
            </w:tcMar>
            <w:vAlign w:val="center"/>
          </w:tcPr>
          <w:p>
            <w:pPr>
              <w:spacing w:after="0" w:line="264" w:lineRule="auto"/>
            </w:pPr>
            <w:r>
              <w:rPr>
                <w:rFonts w:ascii="Calibri" w:hAnsi="Calibri"/>
                <w:b w:val="0"/>
                <w:i w:val="0"/>
                <w:color w:val="243B53"/>
                <w:sz w:val="18"/>
              </w:rPr>
              <w:t>Evidence-bounded explanation of the possible modern-slavery pattern.</w:t>
            </w:r>
          </w:p>
        </w:tc>
      </w:tr>
      <w:tr>
        <w:tc>
          <w:tcPr>
            <w:tcW w:type="dxa" w:w="2500"/>
            <w:tcMar>
              <w:top w:w="80" w:type="dxa"/>
              <w:start w:w="120" w:type="dxa"/>
              <w:bottom w:w="80" w:type="dxa"/>
              <w:end w:w="120" w:type="dxa"/>
            </w:tcMar>
            <w:vAlign w:val="center"/>
          </w:tcPr>
          <w:p>
            <w:pPr>
              <w:spacing w:after="0" w:line="264" w:lineRule="auto"/>
            </w:pPr>
            <w:r>
              <w:rPr>
                <w:rFonts w:ascii="Calibri" w:hAnsi="Calibri"/>
                <w:b w:val="0"/>
                <w:i w:val="0"/>
                <w:color w:val="243B53"/>
                <w:sz w:val="18"/>
              </w:rPr>
              <w:t>Evidence summary</w:t>
            </w:r>
          </w:p>
        </w:tc>
        <w:tc>
          <w:tcPr>
            <w:tcW w:type="dxa" w:w="6860"/>
            <w:tcMar>
              <w:top w:w="80" w:type="dxa"/>
              <w:start w:w="120" w:type="dxa"/>
              <w:bottom w:w="80" w:type="dxa"/>
              <w:end w:w="120" w:type="dxa"/>
            </w:tcMar>
            <w:vAlign w:val="center"/>
          </w:tcPr>
          <w:p>
            <w:pPr>
              <w:spacing w:after="0" w:line="264" w:lineRule="auto"/>
            </w:pPr>
            <w:r>
              <w:rPr>
                <w:rFonts w:ascii="Calibri" w:hAnsi="Calibri"/>
                <w:b w:val="0"/>
                <w:i w:val="0"/>
                <w:color w:val="243B53"/>
                <w:sz w:val="18"/>
              </w:rPr>
              <w:t>Condensed multi-source facts supporting the hypothesis.</w:t>
            </w:r>
          </w:p>
        </w:tc>
      </w:tr>
      <w:tr>
        <w:tc>
          <w:tcPr>
            <w:tcW w:type="dxa" w:w="2500"/>
            <w:tcMar>
              <w:top w:w="80" w:type="dxa"/>
              <w:start w:w="120" w:type="dxa"/>
              <w:bottom w:w="80" w:type="dxa"/>
              <w:end w:w="120" w:type="dxa"/>
            </w:tcMar>
            <w:vAlign w:val="center"/>
          </w:tcPr>
          <w:p>
            <w:pPr>
              <w:spacing w:after="0" w:line="264" w:lineRule="auto"/>
            </w:pPr>
            <w:r>
              <w:rPr>
                <w:rFonts w:ascii="Calibri" w:hAnsi="Calibri"/>
                <w:b w:val="0"/>
                <w:i w:val="0"/>
                <w:color w:val="243B53"/>
                <w:sz w:val="18"/>
              </w:rPr>
              <w:t>Missing evidence</w:t>
            </w:r>
          </w:p>
        </w:tc>
        <w:tc>
          <w:tcPr>
            <w:tcW w:type="dxa" w:w="6860"/>
            <w:tcMar>
              <w:top w:w="80" w:type="dxa"/>
              <w:start w:w="120" w:type="dxa"/>
              <w:bottom w:w="80" w:type="dxa"/>
              <w:end w:w="120" w:type="dxa"/>
            </w:tcMar>
            <w:vAlign w:val="center"/>
          </w:tcPr>
          <w:p>
            <w:pPr>
              <w:spacing w:after="0" w:line="264" w:lineRule="auto"/>
            </w:pPr>
            <w:r>
              <w:rPr>
                <w:rFonts w:ascii="Calibri" w:hAnsi="Calibri"/>
                <w:b w:val="0"/>
                <w:i w:val="0"/>
                <w:color w:val="243B53"/>
                <w:sz w:val="18"/>
              </w:rPr>
              <w:t>Known gaps the reviewer should resolve before or after escalation.</w:t>
            </w:r>
          </w:p>
        </w:tc>
      </w:tr>
      <w:tr>
        <w:tc>
          <w:tcPr>
            <w:tcW w:type="dxa" w:w="2500"/>
            <w:tcMar>
              <w:top w:w="80" w:type="dxa"/>
              <w:start w:w="120" w:type="dxa"/>
              <w:bottom w:w="80" w:type="dxa"/>
              <w:end w:w="120" w:type="dxa"/>
            </w:tcMar>
            <w:vAlign w:val="center"/>
          </w:tcPr>
          <w:p>
            <w:pPr>
              <w:spacing w:after="0" w:line="264" w:lineRule="auto"/>
            </w:pPr>
            <w:r>
              <w:rPr>
                <w:rFonts w:ascii="Calibri" w:hAnsi="Calibri"/>
                <w:b w:val="0"/>
                <w:i w:val="0"/>
                <w:color w:val="243B53"/>
                <w:sz w:val="18"/>
              </w:rPr>
              <w:t>Recommended action</w:t>
            </w:r>
          </w:p>
        </w:tc>
        <w:tc>
          <w:tcPr>
            <w:tcW w:type="dxa" w:w="6860"/>
            <w:tcMar>
              <w:top w:w="80" w:type="dxa"/>
              <w:start w:w="120" w:type="dxa"/>
              <w:bottom w:w="80" w:type="dxa"/>
              <w:end w:w="120" w:type="dxa"/>
            </w:tcMar>
            <w:vAlign w:val="center"/>
          </w:tcPr>
          <w:p>
            <w:pPr>
              <w:spacing w:after="0" w:line="264" w:lineRule="auto"/>
            </w:pPr>
            <w:r>
              <w:rPr>
                <w:rFonts w:ascii="Calibri" w:hAnsi="Calibri"/>
                <w:b w:val="0"/>
                <w:i w:val="0"/>
                <w:color w:val="243B53"/>
                <w:sz w:val="18"/>
              </w:rPr>
              <w:t>Proposed route and proportionate next step.</w:t>
            </w:r>
          </w:p>
        </w:tc>
      </w:tr>
      <w:tr>
        <w:tc>
          <w:tcPr>
            <w:tcW w:type="dxa" w:w="2500"/>
            <w:tcMar>
              <w:top w:w="80" w:type="dxa"/>
              <w:start w:w="120" w:type="dxa"/>
              <w:bottom w:w="80" w:type="dxa"/>
              <w:end w:w="120" w:type="dxa"/>
            </w:tcMar>
            <w:vAlign w:val="center"/>
          </w:tcPr>
          <w:p>
            <w:pPr>
              <w:spacing w:after="0" w:line="264" w:lineRule="auto"/>
            </w:pPr>
            <w:r>
              <w:rPr>
                <w:rFonts w:ascii="Calibri" w:hAnsi="Calibri"/>
                <w:b w:val="0"/>
                <w:i w:val="0"/>
                <w:color w:val="243B53"/>
                <w:sz w:val="18"/>
              </w:rPr>
              <w:t>Cortex prompt</w:t>
            </w:r>
          </w:p>
        </w:tc>
        <w:tc>
          <w:tcPr>
            <w:tcW w:type="dxa" w:w="6860"/>
            <w:tcMar>
              <w:top w:w="80" w:type="dxa"/>
              <w:start w:w="120" w:type="dxa"/>
              <w:bottom w:w="80" w:type="dxa"/>
              <w:end w:w="120" w:type="dxa"/>
            </w:tcMar>
            <w:vAlign w:val="center"/>
          </w:tcPr>
          <w:p>
            <w:pPr>
              <w:spacing w:after="0" w:line="264" w:lineRule="auto"/>
            </w:pPr>
            <w:r>
              <w:rPr>
                <w:rFonts w:ascii="Calibri" w:hAnsi="Calibri"/>
                <w:b w:val="0"/>
                <w:i w:val="0"/>
                <w:color w:val="243B53"/>
                <w:sz w:val="18"/>
              </w:rPr>
              <w:t>Expandable grounded prompt for optional Snowflake Cortex / Intelligence summarization.</w:t>
            </w:r>
          </w:p>
        </w:tc>
      </w:tr>
    </w:tbl>
    <w:p>
      <w:pPr>
        <w:spacing w:after="40"/>
      </w:pPr>
    </w:p>
    <w:p>
      <w:pPr>
        <w:spacing w:after="120" w:line="300" w:lineRule="auto"/>
      </w:pPr>
      <w:r>
        <w:rPr>
          <w:rFonts w:ascii="Calibri" w:hAnsi="Calibri"/>
          <w:b w:val="0"/>
          <w:i w:val="0"/>
          <w:color w:val="243B53"/>
          <w:sz w:val="22"/>
        </w:rPr>
        <w:t>The default brief is deterministic and is produced by vw_case_intelligence_brief. This ensures the application remains operational even if a model is unavailable. The optional prompt can be reviewed, executed with authorized Cortex access, and compared against the deterministic narrative.</w:t>
      </w:r>
    </w:p>
    <w:p>
      <w:pPr>
        <w:pStyle w:val="Heading2"/>
        <w:keepNext/>
      </w:pPr>
      <w:r>
        <w:t>5.7 Reviewer Decision</w:t>
      </w:r>
    </w:p>
    <w:p>
      <w:pPr>
        <w:spacing w:after="120" w:line="300" w:lineRule="auto"/>
      </w:pPr>
      <w:r>
        <w:rPr>
          <w:rFonts w:ascii="Calibri" w:hAnsi="Calibri"/>
          <w:b/>
          <w:i w:val="0"/>
          <w:color w:val="243B53"/>
          <w:sz w:val="22"/>
        </w:rPr>
        <w:t>Purpose:</w:t>
      </w:r>
      <w:r>
        <w:rPr>
          <w:rFonts w:ascii="Calibri" w:hAnsi="Calibri"/>
          <w:b w:val="0"/>
          <w:i w:val="0"/>
          <w:color w:val="243B53"/>
          <w:sz w:val="22"/>
        </w:rPr>
        <w:t xml:space="preserve"> Convert analytical evidence into a named, justified, and auditable human outcome.</w:t>
      </w:r>
    </w:p>
    <w:tbl>
      <w:tblPr>
        <w:tblW w:type="dxa" w:w="9360"/>
        <w:tblLayout w:type="fixed"/>
        <w:tblLook w:firstColumn="1" w:firstRow="1" w:lastColumn="0" w:lastRow="0" w:noHBand="0" w:noVBand="1" w:val="04A0"/>
        <w:jc w:val="left"/>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3000"/>
        <w:gridCol w:w="3500"/>
        <w:gridCol w:w="2860"/>
      </w:tblGrid>
      <w:tr>
        <w:trPr>
          <w:tblHeader w:val="true"/>
        </w:trPr>
        <w:tc>
          <w:tcPr>
            <w:tcW w:type="dxa" w:w="3000"/>
            <w:tcMar>
              <w:top w:w="80" w:type="dxa"/>
              <w:start w:w="120" w:type="dxa"/>
              <w:bottom w:w="80" w:type="dxa"/>
              <w:end w:w="120" w:type="dxa"/>
            </w:tcMar>
            <w:vAlign w:val="center"/>
            <w:shd w:fill="E8EEF5"/>
          </w:tcPr>
          <w:p>
            <w:pPr>
              <w:spacing w:after="0"/>
            </w:pPr>
            <w:r>
              <w:rPr>
                <w:rFonts w:ascii="Calibri" w:hAnsi="Calibri"/>
                <w:b/>
                <w:i w:val="0"/>
                <w:color w:val="102A43"/>
                <w:sz w:val="19"/>
              </w:rPr>
              <w:t>User-facing choice</w:t>
            </w:r>
          </w:p>
        </w:tc>
        <w:tc>
          <w:tcPr>
            <w:tcW w:type="dxa" w:w="3500"/>
            <w:tcMar>
              <w:top w:w="80" w:type="dxa"/>
              <w:start w:w="120" w:type="dxa"/>
              <w:bottom w:w="80" w:type="dxa"/>
              <w:end w:w="120" w:type="dxa"/>
            </w:tcMar>
            <w:vAlign w:val="center"/>
            <w:shd w:fill="E8EEF5"/>
          </w:tcPr>
          <w:p>
            <w:pPr>
              <w:spacing w:after="0"/>
            </w:pPr>
            <w:r>
              <w:rPr>
                <w:rFonts w:ascii="Calibri" w:hAnsi="Calibri"/>
                <w:b/>
                <w:i w:val="0"/>
                <w:color w:val="102A43"/>
                <w:sz w:val="19"/>
              </w:rPr>
              <w:t>Stored decision code</w:t>
            </w:r>
          </w:p>
        </w:tc>
        <w:tc>
          <w:tcPr>
            <w:tcW w:type="dxa" w:w="2860"/>
            <w:tcMar>
              <w:top w:w="80" w:type="dxa"/>
              <w:start w:w="120" w:type="dxa"/>
              <w:bottom w:w="80" w:type="dxa"/>
              <w:end w:w="120" w:type="dxa"/>
            </w:tcMar>
            <w:vAlign w:val="center"/>
            <w:shd w:fill="E8EEF5"/>
          </w:tcPr>
          <w:p>
            <w:pPr>
              <w:spacing w:after="0"/>
            </w:pPr>
            <w:r>
              <w:rPr>
                <w:rFonts w:ascii="Calibri" w:hAnsi="Calibri"/>
                <w:b/>
                <w:i w:val="0"/>
                <w:color w:val="102A43"/>
                <w:sz w:val="19"/>
              </w:rPr>
              <w:t>Resulting alert status</w:t>
            </w:r>
          </w:p>
        </w:tc>
      </w:tr>
      <w:tr>
        <w:tc>
          <w:tcPr>
            <w:tcW w:type="dxa" w:w="3000"/>
            <w:tcMar>
              <w:top w:w="80" w:type="dxa"/>
              <w:start w:w="120" w:type="dxa"/>
              <w:bottom w:w="80" w:type="dxa"/>
              <w:end w:w="120" w:type="dxa"/>
            </w:tcMar>
            <w:vAlign w:val="center"/>
          </w:tcPr>
          <w:p>
            <w:pPr>
              <w:spacing w:after="0" w:line="264" w:lineRule="auto"/>
            </w:pPr>
            <w:r>
              <w:rPr>
                <w:rFonts w:ascii="Calibri" w:hAnsi="Calibri"/>
                <w:b w:val="0"/>
                <w:i w:val="0"/>
                <w:color w:val="243B53"/>
                <w:sz w:val="18"/>
              </w:rPr>
              <w:t>Escalate to SAR</w:t>
            </w:r>
          </w:p>
        </w:tc>
        <w:tc>
          <w:tcPr>
            <w:tcW w:type="dxa" w:w="3500"/>
            <w:tcMar>
              <w:top w:w="80" w:type="dxa"/>
              <w:start w:w="120" w:type="dxa"/>
              <w:bottom w:w="80" w:type="dxa"/>
              <w:end w:w="120" w:type="dxa"/>
            </w:tcMar>
            <w:vAlign w:val="center"/>
          </w:tcPr>
          <w:p>
            <w:pPr>
              <w:spacing w:after="0" w:line="264" w:lineRule="auto"/>
            </w:pPr>
            <w:r>
              <w:rPr>
                <w:rFonts w:ascii="Calibri" w:hAnsi="Calibri"/>
                <w:b w:val="0"/>
                <w:i w:val="0"/>
                <w:color w:val="243B53"/>
                <w:sz w:val="18"/>
              </w:rPr>
              <w:t>ESCALATE_TO_SAR</w:t>
            </w:r>
          </w:p>
        </w:tc>
        <w:tc>
          <w:tcPr>
            <w:tcW w:type="dxa" w:w="2860"/>
            <w:tcMar>
              <w:top w:w="80" w:type="dxa"/>
              <w:start w:w="120" w:type="dxa"/>
              <w:bottom w:w="80" w:type="dxa"/>
              <w:end w:w="120" w:type="dxa"/>
            </w:tcMar>
            <w:vAlign w:val="center"/>
          </w:tcPr>
          <w:p>
            <w:pPr>
              <w:spacing w:after="0" w:line="264" w:lineRule="auto"/>
            </w:pPr>
            <w:r>
              <w:rPr>
                <w:rFonts w:ascii="Calibri" w:hAnsi="Calibri"/>
                <w:b w:val="0"/>
                <w:i w:val="0"/>
                <w:color w:val="243B53"/>
                <w:sz w:val="18"/>
              </w:rPr>
              <w:t>REVIEWED</w:t>
            </w:r>
          </w:p>
        </w:tc>
      </w:tr>
      <w:tr>
        <w:tc>
          <w:tcPr>
            <w:tcW w:type="dxa" w:w="3000"/>
            <w:tcMar>
              <w:top w:w="80" w:type="dxa"/>
              <w:start w:w="120" w:type="dxa"/>
              <w:bottom w:w="80" w:type="dxa"/>
              <w:end w:w="120" w:type="dxa"/>
            </w:tcMar>
            <w:vAlign w:val="center"/>
          </w:tcPr>
          <w:p>
            <w:pPr>
              <w:spacing w:after="0" w:line="264" w:lineRule="auto"/>
            </w:pPr>
            <w:r>
              <w:rPr>
                <w:rFonts w:ascii="Calibri" w:hAnsi="Calibri"/>
                <w:b w:val="0"/>
                <w:i w:val="0"/>
                <w:color w:val="243B53"/>
                <w:sz w:val="18"/>
              </w:rPr>
              <w:t>Request more evidence</w:t>
            </w:r>
          </w:p>
        </w:tc>
        <w:tc>
          <w:tcPr>
            <w:tcW w:type="dxa" w:w="3500"/>
            <w:tcMar>
              <w:top w:w="80" w:type="dxa"/>
              <w:start w:w="120" w:type="dxa"/>
              <w:bottom w:w="80" w:type="dxa"/>
              <w:end w:w="120" w:type="dxa"/>
            </w:tcMar>
            <w:vAlign w:val="center"/>
          </w:tcPr>
          <w:p>
            <w:pPr>
              <w:spacing w:after="0" w:line="264" w:lineRule="auto"/>
            </w:pPr>
            <w:r>
              <w:rPr>
                <w:rFonts w:ascii="Calibri" w:hAnsi="Calibri"/>
                <w:b w:val="0"/>
                <w:i w:val="0"/>
                <w:color w:val="243B53"/>
                <w:sz w:val="18"/>
              </w:rPr>
              <w:t>REQUEST_MORE_EVIDENCE</w:t>
            </w:r>
          </w:p>
        </w:tc>
        <w:tc>
          <w:tcPr>
            <w:tcW w:type="dxa" w:w="2860"/>
            <w:tcMar>
              <w:top w:w="80" w:type="dxa"/>
              <w:start w:w="120" w:type="dxa"/>
              <w:bottom w:w="80" w:type="dxa"/>
              <w:end w:w="120" w:type="dxa"/>
            </w:tcMar>
            <w:vAlign w:val="center"/>
          </w:tcPr>
          <w:p>
            <w:pPr>
              <w:spacing w:after="0" w:line="264" w:lineRule="auto"/>
            </w:pPr>
            <w:r>
              <w:rPr>
                <w:rFonts w:ascii="Calibri" w:hAnsi="Calibri"/>
                <w:b w:val="0"/>
                <w:i w:val="0"/>
                <w:color w:val="243B53"/>
                <w:sz w:val="18"/>
              </w:rPr>
              <w:t>EVIDENCE_REQUESTED</w:t>
            </w:r>
          </w:p>
        </w:tc>
      </w:tr>
      <w:tr>
        <w:tc>
          <w:tcPr>
            <w:tcW w:type="dxa" w:w="3000"/>
            <w:tcMar>
              <w:top w:w="80" w:type="dxa"/>
              <w:start w:w="120" w:type="dxa"/>
              <w:bottom w:w="80" w:type="dxa"/>
              <w:end w:w="120" w:type="dxa"/>
            </w:tcMar>
            <w:vAlign w:val="center"/>
          </w:tcPr>
          <w:p>
            <w:pPr>
              <w:spacing w:after="0" w:line="264" w:lineRule="auto"/>
            </w:pPr>
            <w:r>
              <w:rPr>
                <w:rFonts w:ascii="Calibri" w:hAnsi="Calibri"/>
                <w:b w:val="0"/>
                <w:i w:val="0"/>
                <w:color w:val="243B53"/>
                <w:sz w:val="18"/>
              </w:rPr>
              <w:t>Monitor case</w:t>
            </w:r>
          </w:p>
        </w:tc>
        <w:tc>
          <w:tcPr>
            <w:tcW w:type="dxa" w:w="3500"/>
            <w:tcMar>
              <w:top w:w="80" w:type="dxa"/>
              <w:start w:w="120" w:type="dxa"/>
              <w:bottom w:w="80" w:type="dxa"/>
              <w:end w:w="120" w:type="dxa"/>
            </w:tcMar>
            <w:vAlign w:val="center"/>
          </w:tcPr>
          <w:p>
            <w:pPr>
              <w:spacing w:after="0" w:line="264" w:lineRule="auto"/>
            </w:pPr>
            <w:r>
              <w:rPr>
                <w:rFonts w:ascii="Calibri" w:hAnsi="Calibri"/>
                <w:b w:val="0"/>
                <w:i w:val="0"/>
                <w:color w:val="243B53"/>
                <w:sz w:val="18"/>
              </w:rPr>
              <w:t>MONITOR_CASE</w:t>
            </w:r>
          </w:p>
        </w:tc>
        <w:tc>
          <w:tcPr>
            <w:tcW w:type="dxa" w:w="2860"/>
            <w:tcMar>
              <w:top w:w="80" w:type="dxa"/>
              <w:start w:w="120" w:type="dxa"/>
              <w:bottom w:w="80" w:type="dxa"/>
              <w:end w:w="120" w:type="dxa"/>
            </w:tcMar>
            <w:vAlign w:val="center"/>
          </w:tcPr>
          <w:p>
            <w:pPr>
              <w:spacing w:after="0" w:line="264" w:lineRule="auto"/>
            </w:pPr>
            <w:r>
              <w:rPr>
                <w:rFonts w:ascii="Calibri" w:hAnsi="Calibri"/>
                <w:b w:val="0"/>
                <w:i w:val="0"/>
                <w:color w:val="243B53"/>
                <w:sz w:val="18"/>
              </w:rPr>
              <w:t>REVIEWED</w:t>
            </w:r>
          </w:p>
        </w:tc>
      </w:tr>
      <w:tr>
        <w:tc>
          <w:tcPr>
            <w:tcW w:type="dxa" w:w="3000"/>
            <w:tcMar>
              <w:top w:w="80" w:type="dxa"/>
              <w:start w:w="120" w:type="dxa"/>
              <w:bottom w:w="80" w:type="dxa"/>
              <w:end w:w="120" w:type="dxa"/>
            </w:tcMar>
            <w:vAlign w:val="center"/>
          </w:tcPr>
          <w:p>
            <w:pPr>
              <w:spacing w:after="0" w:line="264" w:lineRule="auto"/>
            </w:pPr>
            <w:r>
              <w:rPr>
                <w:rFonts w:ascii="Calibri" w:hAnsi="Calibri"/>
                <w:b w:val="0"/>
                <w:i w:val="0"/>
                <w:color w:val="243B53"/>
                <w:sz w:val="18"/>
              </w:rPr>
              <w:t>Close as false positive</w:t>
            </w:r>
          </w:p>
        </w:tc>
        <w:tc>
          <w:tcPr>
            <w:tcW w:type="dxa" w:w="3500"/>
            <w:tcMar>
              <w:top w:w="80" w:type="dxa"/>
              <w:start w:w="120" w:type="dxa"/>
              <w:bottom w:w="80" w:type="dxa"/>
              <w:end w:w="120" w:type="dxa"/>
            </w:tcMar>
            <w:vAlign w:val="center"/>
          </w:tcPr>
          <w:p>
            <w:pPr>
              <w:spacing w:after="0" w:line="264" w:lineRule="auto"/>
            </w:pPr>
            <w:r>
              <w:rPr>
                <w:rFonts w:ascii="Calibri" w:hAnsi="Calibri"/>
                <w:b w:val="0"/>
                <w:i w:val="0"/>
                <w:color w:val="243B53"/>
                <w:sz w:val="18"/>
              </w:rPr>
              <w:t>CLOSE_AS_FALSE_POSITIVE</w:t>
            </w:r>
          </w:p>
        </w:tc>
        <w:tc>
          <w:tcPr>
            <w:tcW w:type="dxa" w:w="2860"/>
            <w:tcMar>
              <w:top w:w="80" w:type="dxa"/>
              <w:start w:w="120" w:type="dxa"/>
              <w:bottom w:w="80" w:type="dxa"/>
              <w:end w:w="120" w:type="dxa"/>
            </w:tcMar>
            <w:vAlign w:val="center"/>
          </w:tcPr>
          <w:p>
            <w:pPr>
              <w:spacing w:after="0" w:line="264" w:lineRule="auto"/>
            </w:pPr>
            <w:r>
              <w:rPr>
                <w:rFonts w:ascii="Calibri" w:hAnsi="Calibri"/>
                <w:b w:val="0"/>
                <w:i w:val="0"/>
                <w:color w:val="243B53"/>
                <w:sz w:val="18"/>
              </w:rPr>
              <w:t>REVIEWED</w:t>
            </w:r>
          </w:p>
        </w:tc>
      </w:tr>
    </w:tbl>
    <w:p>
      <w:pPr>
        <w:spacing w:after="40"/>
      </w:pPr>
    </w:p>
    <w:p>
      <w:pPr>
        <w:pStyle w:val="Heading3"/>
        <w:keepNext/>
      </w:pPr>
      <w:r>
        <w:t>Input validation</w:t>
      </w:r>
    </w:p>
    <w:p>
      <w:pPr>
        <w:numPr>
          <w:ilvl w:val="0"/>
          <w:numId w:val="10"/>
        </w:numPr>
        <w:spacing w:after="80" w:line="300" w:lineRule="auto"/>
      </w:pPr>
      <w:r>
        <w:rPr>
          <w:rFonts w:ascii="Calibri" w:hAnsi="Calibri"/>
          <w:b w:val="0"/>
          <w:i w:val="0"/>
          <w:color w:val="243B53"/>
          <w:sz w:val="22"/>
        </w:rPr>
        <w:t>Reviewer name must be present.</w:t>
      </w:r>
    </w:p>
    <w:p>
      <w:pPr>
        <w:numPr>
          <w:ilvl w:val="0"/>
          <w:numId w:val="10"/>
        </w:numPr>
        <w:spacing w:after="80" w:line="300" w:lineRule="auto"/>
      </w:pPr>
      <w:r>
        <w:rPr>
          <w:rFonts w:ascii="Calibri" w:hAnsi="Calibri"/>
          <w:b w:val="0"/>
          <w:i w:val="0"/>
          <w:color w:val="243B53"/>
          <w:sz w:val="22"/>
        </w:rPr>
        <w:t>Rationale must be present.</w:t>
      </w:r>
    </w:p>
    <w:p>
      <w:pPr>
        <w:numPr>
          <w:ilvl w:val="0"/>
          <w:numId w:val="10"/>
        </w:numPr>
        <w:spacing w:after="80" w:line="300" w:lineRule="auto"/>
      </w:pPr>
      <w:r>
        <w:rPr>
          <w:rFonts w:ascii="Calibri" w:hAnsi="Calibri"/>
          <w:b w:val="0"/>
          <w:i w:val="0"/>
          <w:color w:val="243B53"/>
          <w:sz w:val="22"/>
        </w:rPr>
        <w:t>The reviewer must acknowledge that this is a human decision and no SAR is filed automatically.</w:t>
      </w:r>
    </w:p>
    <w:p>
      <w:pPr>
        <w:numPr>
          <w:ilvl w:val="0"/>
          <w:numId w:val="10"/>
        </w:numPr>
        <w:spacing w:after="80" w:line="300" w:lineRule="auto"/>
      </w:pPr>
      <w:r>
        <w:rPr>
          <w:rFonts w:ascii="Calibri" w:hAnsi="Calibri"/>
          <w:b w:val="0"/>
          <w:i w:val="0"/>
          <w:color w:val="243B53"/>
          <w:sz w:val="22"/>
        </w:rPr>
        <w:t>The procedure rejects any decision code outside the four-value allowlist.</w:t>
      </w:r>
    </w:p>
    <w:p>
      <w:pPr>
        <w:pStyle w:val="Heading3"/>
        <w:keepNext/>
      </w:pPr>
      <w:r>
        <w:t>Transactional behavior</w:t>
      </w:r>
    </w:p>
    <w:p>
      <w:pPr>
        <w:numPr>
          <w:ilvl w:val="0"/>
          <w:numId w:val="11"/>
        </w:numPr>
        <w:spacing w:after="80" w:line="300" w:lineRule="auto"/>
      </w:pPr>
      <w:r>
        <w:rPr>
          <w:rFonts w:ascii="Calibri" w:hAnsi="Calibri"/>
          <w:b w:val="0"/>
          <w:i w:val="0"/>
          <w:color w:val="243B53"/>
          <w:sz w:val="22"/>
        </w:rPr>
        <w:t>Generate a unique decision ID and audit event ID.</w:t>
      </w:r>
    </w:p>
    <w:p>
      <w:pPr>
        <w:numPr>
          <w:ilvl w:val="0"/>
          <w:numId w:val="11"/>
        </w:numPr>
        <w:spacing w:after="80" w:line="300" w:lineRule="auto"/>
      </w:pPr>
      <w:r>
        <w:rPr>
          <w:rFonts w:ascii="Calibri" w:hAnsi="Calibri"/>
          <w:b w:val="0"/>
          <w:i w:val="0"/>
          <w:color w:val="243B53"/>
          <w:sz w:val="22"/>
        </w:rPr>
        <w:t>Insert the reviewer decision into case_decisions.</w:t>
      </w:r>
    </w:p>
    <w:p>
      <w:pPr>
        <w:numPr>
          <w:ilvl w:val="0"/>
          <w:numId w:val="11"/>
        </w:numPr>
        <w:spacing w:after="80" w:line="300" w:lineRule="auto"/>
      </w:pPr>
      <w:r>
        <w:rPr>
          <w:rFonts w:ascii="Calibri" w:hAnsi="Calibri"/>
          <w:b w:val="0"/>
          <w:i w:val="0"/>
          <w:color w:val="243B53"/>
          <w:sz w:val="22"/>
        </w:rPr>
        <w:t>Insert the linked REVIEWER_DECISION event into audit_events.</w:t>
      </w:r>
    </w:p>
    <w:p>
      <w:pPr>
        <w:numPr>
          <w:ilvl w:val="0"/>
          <w:numId w:val="11"/>
        </w:numPr>
        <w:spacing w:after="80" w:line="300" w:lineRule="auto"/>
      </w:pPr>
      <w:r>
        <w:rPr>
          <w:rFonts w:ascii="Calibri" w:hAnsi="Calibri"/>
          <w:b w:val="0"/>
          <w:i w:val="0"/>
          <w:color w:val="243B53"/>
          <w:sz w:val="22"/>
        </w:rPr>
        <w:t>Update the case alert status and assign it to the reviewer.</w:t>
      </w:r>
    </w:p>
    <w:p>
      <w:pPr>
        <w:numPr>
          <w:ilvl w:val="0"/>
          <w:numId w:val="11"/>
        </w:numPr>
        <w:spacing w:after="80" w:line="300" w:lineRule="auto"/>
      </w:pPr>
      <w:r>
        <w:rPr>
          <w:rFonts w:ascii="Calibri" w:hAnsi="Calibri"/>
          <w:b w:val="0"/>
          <w:i w:val="0"/>
          <w:color w:val="243B53"/>
          <w:sz w:val="22"/>
        </w:rPr>
        <w:t>Commit all changes together; roll back all changes if any operation fails.</w:t>
      </w:r>
    </w:p>
    <w:p>
      <w:pPr>
        <w:numPr>
          <w:ilvl w:val="0"/>
          <w:numId w:val="11"/>
        </w:numPr>
        <w:spacing w:after="80" w:line="300" w:lineRule="auto"/>
      </w:pPr>
      <w:r>
        <w:rPr>
          <w:rFonts w:ascii="Calibri" w:hAnsi="Calibri"/>
          <w:b w:val="0"/>
          <w:i w:val="0"/>
          <w:color w:val="243B53"/>
          <w:sz w:val="22"/>
        </w:rPr>
        <w:t>Return the decision ID so the app can confirm successful linkage.</w:t>
      </w:r>
    </w:p>
    <w:tbl>
      <w:tblPr>
        <w:tblW w:type="dxa" w:w="9360"/>
        <w:jc w:val="left"/>
        <w:tblLayout w:type="fixed"/>
        <w:tblLook w:firstColumn="1" w:firstRow="1" w:lastColumn="0" w:lastRow="0" w:noHBand="0" w:noVBand="1" w:val="04A0"/>
        <w:tblInd w:w="120" w:type="dxa"/>
        <w:tblBorders>
          <w:top w:val="single" w:sz="8" w:color="0F766E"/>
          <w:left w:val="single" w:sz="8" w:color="0F766E"/>
          <w:bottom w:val="single" w:sz="8" w:color="0F766E"/>
          <w:right w:val="single" w:sz="8" w:color="0F766E"/>
          <w:insideH w:val="single" w:sz="8" w:color="0F766E"/>
          <w:insideV w:val="single" w:sz="8" w:color="0F766E"/>
        </w:tblBorders>
      </w:tblPr>
      <w:tblGrid>
        <w:gridCol w:w="9360"/>
      </w:tblGrid>
      <w:tr>
        <w:tc>
          <w:tcPr>
            <w:tcW w:type="dxa" w:w="9360"/>
            <w:tcMar>
              <w:top w:w="80" w:type="dxa"/>
              <w:start w:w="120" w:type="dxa"/>
              <w:bottom w:w="80" w:type="dxa"/>
              <w:end w:w="120" w:type="dxa"/>
            </w:tcMar>
            <w:vAlign w:val="center"/>
            <w:shd w:fill="ECFDF8"/>
          </w:tcPr>
          <w:p>
            <w:pPr>
              <w:spacing w:after="0" w:line="288" w:lineRule="auto"/>
            </w:pPr>
            <w:r>
              <w:rPr>
                <w:rFonts w:ascii="Calibri" w:hAnsi="Calibri"/>
                <w:b/>
                <w:i w:val="0"/>
                <w:color w:val="0F766E"/>
                <w:sz w:val="22"/>
              </w:rPr>
              <w:t xml:space="preserve">Control objective: </w:t>
            </w:r>
            <w:r>
              <w:rPr>
                <w:rFonts w:ascii="Calibri" w:hAnsi="Calibri"/>
                <w:b w:val="0"/>
                <w:i w:val="0"/>
                <w:color w:val="243B53"/>
                <w:sz w:val="22"/>
              </w:rPr>
              <w:t>A decision can never appear without its companion audit event because both records are written in the same Snowflake transaction.</w:t>
            </w:r>
          </w:p>
        </w:tc>
      </w:tr>
    </w:tbl>
    <w:p>
      <w:pPr>
        <w:spacing w:after="20"/>
      </w:pPr>
    </w:p>
    <w:p>
      <w:pPr>
        <w:pStyle w:val="Heading2"/>
        <w:keepNext/>
      </w:pPr>
      <w:r>
        <w:t>5.8 Audit Trail</w:t>
      </w:r>
    </w:p>
    <w:p>
      <w:pPr>
        <w:spacing w:after="120" w:line="300" w:lineRule="auto"/>
      </w:pPr>
      <w:r>
        <w:rPr>
          <w:rFonts w:ascii="Calibri" w:hAnsi="Calibri"/>
          <w:b/>
          <w:i w:val="0"/>
          <w:color w:val="243B53"/>
          <w:sz w:val="22"/>
        </w:rPr>
        <w:t>Purpose:</w:t>
      </w:r>
      <w:r>
        <w:rPr>
          <w:rFonts w:ascii="Calibri" w:hAnsi="Calibri"/>
          <w:b w:val="0"/>
          <w:i w:val="0"/>
          <w:color w:val="243B53"/>
          <w:sz w:val="22"/>
        </w:rPr>
        <w:t xml:space="preserve"> Reconstruct case history across automated analysis and human review.</w:t>
      </w:r>
    </w:p>
    <w:p>
      <w:pPr>
        <w:numPr>
          <w:ilvl w:val="0"/>
          <w:numId w:val="10"/>
        </w:numPr>
        <w:spacing w:after="80" w:line="300" w:lineRule="auto"/>
      </w:pPr>
      <w:r>
        <w:rPr>
          <w:rFonts w:ascii="Calibri" w:hAnsi="Calibri"/>
          <w:b w:val="0"/>
          <w:i w:val="0"/>
          <w:color w:val="243B53"/>
          <w:sz w:val="22"/>
        </w:rPr>
        <w:t>Displays event timestamp, actor type, actor name, event type, detail, object type, and object ID.</w:t>
      </w:r>
    </w:p>
    <w:p>
      <w:pPr>
        <w:numPr>
          <w:ilvl w:val="0"/>
          <w:numId w:val="10"/>
        </w:numPr>
        <w:spacing w:after="80" w:line="300" w:lineRule="auto"/>
      </w:pPr>
      <w:r>
        <w:rPr>
          <w:rFonts w:ascii="Calibri" w:hAnsi="Calibri"/>
          <w:b w:val="0"/>
          <w:i w:val="0"/>
          <w:color w:val="243B53"/>
          <w:sz w:val="22"/>
        </w:rPr>
        <w:t>Orders events newest first for operational review.</w:t>
      </w:r>
    </w:p>
    <w:p>
      <w:pPr>
        <w:numPr>
          <w:ilvl w:val="0"/>
          <w:numId w:val="10"/>
        </w:numPr>
        <w:spacing w:after="80" w:line="300" w:lineRule="auto"/>
      </w:pPr>
      <w:r>
        <w:rPr>
          <w:rFonts w:ascii="Calibri" w:hAnsi="Calibri"/>
          <w:b w:val="0"/>
          <w:i w:val="0"/>
          <w:color w:val="243B53"/>
          <w:sz w:val="22"/>
        </w:rPr>
        <w:t>Includes alert creation, signal evaluation, evidence linkage, risk calculation, and reviewer decisions.</w:t>
      </w:r>
    </w:p>
    <w:p>
      <w:pPr>
        <w:numPr>
          <w:ilvl w:val="0"/>
          <w:numId w:val="10"/>
        </w:numPr>
        <w:spacing w:after="80" w:line="300" w:lineRule="auto"/>
      </w:pPr>
      <w:r>
        <w:rPr>
          <w:rFonts w:ascii="Calibri" w:hAnsi="Calibri"/>
          <w:b w:val="0"/>
          <w:i w:val="0"/>
          <w:color w:val="243B53"/>
          <w:sz w:val="22"/>
        </w:rPr>
        <w:t>Exports the selected case timeline as a CSV named with the lowercase case ID.</w:t>
      </w:r>
    </w:p>
    <w:p>
      <w:r>
        <w:br w:type="page"/>
      </w:r>
    </w:p>
    <w:p>
      <w:pPr>
        <w:pStyle w:val="Heading1"/>
        <w:keepNext/>
      </w:pPr>
      <w:r>
        <w:t>6. Cross-cutting application behavior</w:t>
      </w:r>
    </w:p>
    <w:tbl>
      <w:tblPr>
        <w:tblW w:type="dxa" w:w="9360"/>
        <w:tblLayout w:type="fixed"/>
        <w:tblLook w:firstColumn="1" w:firstRow="1" w:lastColumn="0" w:lastRow="0" w:noHBand="0" w:noVBand="1" w:val="04A0"/>
        <w:jc w:val="left"/>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1800"/>
        <w:gridCol w:w="4000"/>
        <w:gridCol w:w="3560"/>
      </w:tblGrid>
      <w:tr>
        <w:trPr>
          <w:tblHeader w:val="true"/>
        </w:trPr>
        <w:tc>
          <w:tcPr>
            <w:tcW w:type="dxa" w:w="1800"/>
            <w:tcMar>
              <w:top w:w="80" w:type="dxa"/>
              <w:start w:w="120" w:type="dxa"/>
              <w:bottom w:w="80" w:type="dxa"/>
              <w:end w:w="120" w:type="dxa"/>
            </w:tcMar>
            <w:vAlign w:val="center"/>
            <w:shd w:fill="E8EEF5"/>
          </w:tcPr>
          <w:p>
            <w:pPr>
              <w:spacing w:after="0"/>
            </w:pPr>
            <w:r>
              <w:rPr>
                <w:rFonts w:ascii="Calibri" w:hAnsi="Calibri"/>
                <w:b/>
                <w:i w:val="0"/>
                <w:color w:val="102A43"/>
                <w:sz w:val="19"/>
              </w:rPr>
              <w:t>Behavior</w:t>
            </w:r>
          </w:p>
        </w:tc>
        <w:tc>
          <w:tcPr>
            <w:tcW w:type="dxa" w:w="4000"/>
            <w:tcMar>
              <w:top w:w="80" w:type="dxa"/>
              <w:start w:w="120" w:type="dxa"/>
              <w:bottom w:w="80" w:type="dxa"/>
              <w:end w:w="120" w:type="dxa"/>
            </w:tcMar>
            <w:vAlign w:val="center"/>
            <w:shd w:fill="E8EEF5"/>
          </w:tcPr>
          <w:p>
            <w:pPr>
              <w:spacing w:after="0"/>
            </w:pPr>
            <w:r>
              <w:rPr>
                <w:rFonts w:ascii="Calibri" w:hAnsi="Calibri"/>
                <w:b/>
                <w:i w:val="0"/>
                <w:color w:val="102A43"/>
                <w:sz w:val="19"/>
              </w:rPr>
              <w:t>Implementation</w:t>
            </w:r>
          </w:p>
        </w:tc>
        <w:tc>
          <w:tcPr>
            <w:tcW w:type="dxa" w:w="3560"/>
            <w:tcMar>
              <w:top w:w="80" w:type="dxa"/>
              <w:start w:w="120" w:type="dxa"/>
              <w:bottom w:w="80" w:type="dxa"/>
              <w:end w:w="120" w:type="dxa"/>
            </w:tcMar>
            <w:vAlign w:val="center"/>
            <w:shd w:fill="E8EEF5"/>
          </w:tcPr>
          <w:p>
            <w:pPr>
              <w:spacing w:after="0"/>
            </w:pPr>
            <w:r>
              <w:rPr>
                <w:rFonts w:ascii="Calibri" w:hAnsi="Calibri"/>
                <w:b/>
                <w:i w:val="0"/>
                <w:color w:val="102A43"/>
                <w:sz w:val="19"/>
              </w:rPr>
              <w:t>User impact</w:t>
            </w:r>
          </w:p>
        </w:tc>
      </w:tr>
      <w:tr>
        <w:tc>
          <w:tcPr>
            <w:tcW w:type="dxa" w:w="1800"/>
            <w:tcMar>
              <w:top w:w="80" w:type="dxa"/>
              <w:start w:w="120" w:type="dxa"/>
              <w:bottom w:w="80" w:type="dxa"/>
              <w:end w:w="120" w:type="dxa"/>
            </w:tcMar>
            <w:vAlign w:val="center"/>
          </w:tcPr>
          <w:p>
            <w:pPr>
              <w:spacing w:after="0" w:line="264" w:lineRule="auto"/>
            </w:pPr>
            <w:r>
              <w:rPr>
                <w:rFonts w:ascii="Calibri" w:hAnsi="Calibri"/>
                <w:b w:val="0"/>
                <w:i w:val="0"/>
                <w:color w:val="243B53"/>
                <w:sz w:val="18"/>
              </w:rPr>
              <w:t>Snowflake session</w:t>
            </w:r>
          </w:p>
        </w:tc>
        <w:tc>
          <w:tcPr>
            <w:tcW w:type="dxa" w:w="4000"/>
            <w:tcMar>
              <w:top w:w="80" w:type="dxa"/>
              <w:start w:w="120" w:type="dxa"/>
              <w:bottom w:w="80" w:type="dxa"/>
              <w:end w:w="120" w:type="dxa"/>
            </w:tcMar>
            <w:vAlign w:val="center"/>
          </w:tcPr>
          <w:p>
            <w:pPr>
              <w:spacing w:after="0" w:line="264" w:lineRule="auto"/>
            </w:pPr>
            <w:r>
              <w:rPr>
                <w:rFonts w:ascii="Calibri" w:hAnsi="Calibri"/>
                <w:b w:val="0"/>
                <w:i w:val="0"/>
                <w:color w:val="243B53"/>
                <w:sz w:val="18"/>
              </w:rPr>
              <w:t>Uses get_active_session in the native app; falls back to st.connection locally.</w:t>
            </w:r>
          </w:p>
        </w:tc>
        <w:tc>
          <w:tcPr>
            <w:tcW w:type="dxa" w:w="3560"/>
            <w:tcMar>
              <w:top w:w="80" w:type="dxa"/>
              <w:start w:w="120" w:type="dxa"/>
              <w:bottom w:w="80" w:type="dxa"/>
              <w:end w:w="120" w:type="dxa"/>
            </w:tcMar>
            <w:vAlign w:val="center"/>
          </w:tcPr>
          <w:p>
            <w:pPr>
              <w:spacing w:after="0" w:line="264" w:lineRule="auto"/>
            </w:pPr>
            <w:r>
              <w:rPr>
                <w:rFonts w:ascii="Calibri" w:hAnsi="Calibri"/>
                <w:b w:val="0"/>
                <w:i w:val="0"/>
                <w:color w:val="243B53"/>
                <w:sz w:val="18"/>
              </w:rPr>
              <w:t>Same code supports Snowflake and local development.</w:t>
            </w:r>
          </w:p>
        </w:tc>
      </w:tr>
      <w:tr>
        <w:tc>
          <w:tcPr>
            <w:tcW w:type="dxa" w:w="1800"/>
            <w:tcMar>
              <w:top w:w="80" w:type="dxa"/>
              <w:start w:w="120" w:type="dxa"/>
              <w:bottom w:w="80" w:type="dxa"/>
              <w:end w:w="120" w:type="dxa"/>
            </w:tcMar>
            <w:vAlign w:val="center"/>
          </w:tcPr>
          <w:p>
            <w:pPr>
              <w:spacing w:after="0" w:line="264" w:lineRule="auto"/>
            </w:pPr>
            <w:r>
              <w:rPr>
                <w:rFonts w:ascii="Calibri" w:hAnsi="Calibri"/>
                <w:b w:val="0"/>
                <w:i w:val="0"/>
                <w:color w:val="243B53"/>
                <w:sz w:val="18"/>
              </w:rPr>
              <w:t>Parameterized queries</w:t>
            </w:r>
          </w:p>
        </w:tc>
        <w:tc>
          <w:tcPr>
            <w:tcW w:type="dxa" w:w="4000"/>
            <w:tcMar>
              <w:top w:w="80" w:type="dxa"/>
              <w:start w:w="120" w:type="dxa"/>
              <w:bottom w:w="80" w:type="dxa"/>
              <w:end w:w="120" w:type="dxa"/>
            </w:tcMar>
            <w:vAlign w:val="center"/>
          </w:tcPr>
          <w:p>
            <w:pPr>
              <w:spacing w:after="0" w:line="264" w:lineRule="auto"/>
            </w:pPr>
            <w:r>
              <w:rPr>
                <w:rFonts w:ascii="Calibri" w:hAnsi="Calibri"/>
                <w:b w:val="0"/>
                <w:i w:val="0"/>
                <w:color w:val="243B53"/>
                <w:sz w:val="18"/>
              </w:rPr>
              <w:t>Case and account values are passed as parameters.</w:t>
            </w:r>
          </w:p>
        </w:tc>
        <w:tc>
          <w:tcPr>
            <w:tcW w:type="dxa" w:w="3560"/>
            <w:tcMar>
              <w:top w:w="80" w:type="dxa"/>
              <w:start w:w="120" w:type="dxa"/>
              <w:bottom w:w="80" w:type="dxa"/>
              <w:end w:w="120" w:type="dxa"/>
            </w:tcMar>
            <w:vAlign w:val="center"/>
          </w:tcPr>
          <w:p>
            <w:pPr>
              <w:spacing w:after="0" w:line="264" w:lineRule="auto"/>
            </w:pPr>
            <w:r>
              <w:rPr>
                <w:rFonts w:ascii="Calibri" w:hAnsi="Calibri"/>
                <w:b w:val="0"/>
                <w:i w:val="0"/>
                <w:color w:val="243B53"/>
                <w:sz w:val="18"/>
              </w:rPr>
              <w:t>Reduces injection risk and preserves query clarity.</w:t>
            </w:r>
          </w:p>
        </w:tc>
      </w:tr>
      <w:tr>
        <w:tc>
          <w:tcPr>
            <w:tcW w:type="dxa" w:w="1800"/>
            <w:tcMar>
              <w:top w:w="80" w:type="dxa"/>
              <w:start w:w="120" w:type="dxa"/>
              <w:bottom w:w="80" w:type="dxa"/>
              <w:end w:w="120" w:type="dxa"/>
            </w:tcMar>
            <w:vAlign w:val="center"/>
          </w:tcPr>
          <w:p>
            <w:pPr>
              <w:spacing w:after="0" w:line="264" w:lineRule="auto"/>
            </w:pPr>
            <w:r>
              <w:rPr>
                <w:rFonts w:ascii="Calibri" w:hAnsi="Calibri"/>
                <w:b w:val="0"/>
                <w:i w:val="0"/>
                <w:color w:val="243B53"/>
                <w:sz w:val="18"/>
              </w:rPr>
              <w:t>Case cache</w:t>
            </w:r>
          </w:p>
        </w:tc>
        <w:tc>
          <w:tcPr>
            <w:tcW w:type="dxa" w:w="4000"/>
            <w:tcMar>
              <w:top w:w="80" w:type="dxa"/>
              <w:start w:w="120" w:type="dxa"/>
              <w:bottom w:w="80" w:type="dxa"/>
              <w:end w:w="120" w:type="dxa"/>
            </w:tcMar>
            <w:vAlign w:val="center"/>
          </w:tcPr>
          <w:p>
            <w:pPr>
              <w:spacing w:after="0" w:line="264" w:lineRule="auto"/>
            </w:pPr>
            <w:r>
              <w:rPr>
                <w:rFonts w:ascii="Calibri" w:hAnsi="Calibri"/>
                <w:b w:val="0"/>
                <w:i w:val="0"/>
                <w:color w:val="243B53"/>
                <w:sz w:val="18"/>
              </w:rPr>
              <w:t>Case-list query is cached for 30 seconds.</w:t>
            </w:r>
          </w:p>
        </w:tc>
        <w:tc>
          <w:tcPr>
            <w:tcW w:type="dxa" w:w="3560"/>
            <w:tcMar>
              <w:top w:w="80" w:type="dxa"/>
              <w:start w:w="120" w:type="dxa"/>
              <w:bottom w:w="80" w:type="dxa"/>
              <w:end w:w="120" w:type="dxa"/>
            </w:tcMar>
            <w:vAlign w:val="center"/>
          </w:tcPr>
          <w:p>
            <w:pPr>
              <w:spacing w:after="0" w:line="264" w:lineRule="auto"/>
            </w:pPr>
            <w:r>
              <w:rPr>
                <w:rFonts w:ascii="Calibri" w:hAnsi="Calibri"/>
                <w:b w:val="0"/>
                <w:i w:val="0"/>
                <w:color w:val="243B53"/>
                <w:sz w:val="18"/>
              </w:rPr>
              <w:t>Fast navigation with bounded freshness.</w:t>
            </w:r>
          </w:p>
        </w:tc>
      </w:tr>
      <w:tr>
        <w:tc>
          <w:tcPr>
            <w:tcW w:type="dxa" w:w="1800"/>
            <w:tcMar>
              <w:top w:w="80" w:type="dxa"/>
              <w:start w:w="120" w:type="dxa"/>
              <w:bottom w:w="80" w:type="dxa"/>
              <w:end w:w="120" w:type="dxa"/>
            </w:tcMar>
            <w:vAlign w:val="center"/>
          </w:tcPr>
          <w:p>
            <w:pPr>
              <w:spacing w:after="0" w:line="264" w:lineRule="auto"/>
            </w:pPr>
            <w:r>
              <w:rPr>
                <w:rFonts w:ascii="Calibri" w:hAnsi="Calibri"/>
                <w:b w:val="0"/>
                <w:i w:val="0"/>
                <w:color w:val="243B53"/>
                <w:sz w:val="18"/>
              </w:rPr>
              <w:t>Manual refresh</w:t>
            </w:r>
          </w:p>
        </w:tc>
        <w:tc>
          <w:tcPr>
            <w:tcW w:type="dxa" w:w="4000"/>
            <w:tcMar>
              <w:top w:w="80" w:type="dxa"/>
              <w:start w:w="120" w:type="dxa"/>
              <w:bottom w:w="80" w:type="dxa"/>
              <w:end w:w="120" w:type="dxa"/>
            </w:tcMar>
            <w:vAlign w:val="center"/>
          </w:tcPr>
          <w:p>
            <w:pPr>
              <w:spacing w:after="0" w:line="264" w:lineRule="auto"/>
            </w:pPr>
            <w:r>
              <w:rPr>
                <w:rFonts w:ascii="Calibri" w:hAnsi="Calibri"/>
                <w:b w:val="0"/>
                <w:i w:val="0"/>
                <w:color w:val="243B53"/>
                <w:sz w:val="18"/>
              </w:rPr>
              <w:t>Refresh button clears cached data and reruns the app.</w:t>
            </w:r>
          </w:p>
        </w:tc>
        <w:tc>
          <w:tcPr>
            <w:tcW w:type="dxa" w:w="3560"/>
            <w:tcMar>
              <w:top w:w="80" w:type="dxa"/>
              <w:start w:w="120" w:type="dxa"/>
              <w:bottom w:w="80" w:type="dxa"/>
              <w:end w:w="120" w:type="dxa"/>
            </w:tcMar>
            <w:vAlign w:val="center"/>
          </w:tcPr>
          <w:p>
            <w:pPr>
              <w:spacing w:after="0" w:line="264" w:lineRule="auto"/>
            </w:pPr>
            <w:r>
              <w:rPr>
                <w:rFonts w:ascii="Calibri" w:hAnsi="Calibri"/>
                <w:b w:val="0"/>
                <w:i w:val="0"/>
                <w:color w:val="243B53"/>
                <w:sz w:val="18"/>
              </w:rPr>
              <w:t>Reviewer can immediately see new decisions or alert state.</w:t>
            </w:r>
          </w:p>
        </w:tc>
      </w:tr>
      <w:tr>
        <w:tc>
          <w:tcPr>
            <w:tcW w:type="dxa" w:w="1800"/>
            <w:tcMar>
              <w:top w:w="80" w:type="dxa"/>
              <w:start w:w="120" w:type="dxa"/>
              <w:bottom w:w="80" w:type="dxa"/>
              <w:end w:w="120" w:type="dxa"/>
            </w:tcMar>
            <w:vAlign w:val="center"/>
          </w:tcPr>
          <w:p>
            <w:pPr>
              <w:spacing w:after="0" w:line="264" w:lineRule="auto"/>
            </w:pPr>
            <w:r>
              <w:rPr>
                <w:rFonts w:ascii="Calibri" w:hAnsi="Calibri"/>
                <w:b w:val="0"/>
                <w:i w:val="0"/>
                <w:color w:val="243B53"/>
                <w:sz w:val="18"/>
              </w:rPr>
              <w:t>Semi-structured values</w:t>
            </w:r>
          </w:p>
        </w:tc>
        <w:tc>
          <w:tcPr>
            <w:tcW w:type="dxa" w:w="4000"/>
            <w:tcMar>
              <w:top w:w="80" w:type="dxa"/>
              <w:start w:w="120" w:type="dxa"/>
              <w:bottom w:w="80" w:type="dxa"/>
              <w:end w:w="120" w:type="dxa"/>
            </w:tcMar>
            <w:vAlign w:val="center"/>
          </w:tcPr>
          <w:p>
            <w:pPr>
              <w:spacing w:after="0" w:line="264" w:lineRule="auto"/>
            </w:pPr>
            <w:r>
              <w:rPr>
                <w:rFonts w:ascii="Calibri" w:hAnsi="Calibri"/>
                <w:b w:val="0"/>
                <w:i w:val="0"/>
                <w:color w:val="243B53"/>
                <w:sz w:val="18"/>
              </w:rPr>
              <w:t>JSON and Snowflake arrays/objects are parsed for readable display.</w:t>
            </w:r>
          </w:p>
        </w:tc>
        <w:tc>
          <w:tcPr>
            <w:tcW w:type="dxa" w:w="3560"/>
            <w:tcMar>
              <w:top w:w="80" w:type="dxa"/>
              <w:start w:w="120" w:type="dxa"/>
              <w:bottom w:w="80" w:type="dxa"/>
              <w:end w:w="120" w:type="dxa"/>
            </w:tcMar>
            <w:vAlign w:val="center"/>
          </w:tcPr>
          <w:p>
            <w:pPr>
              <w:spacing w:after="0" w:line="264" w:lineRule="auto"/>
            </w:pPr>
            <w:r>
              <w:rPr>
                <w:rFonts w:ascii="Calibri" w:hAnsi="Calibri"/>
                <w:b w:val="0"/>
                <w:i w:val="0"/>
                <w:color w:val="243B53"/>
                <w:sz w:val="18"/>
              </w:rPr>
              <w:t>Risk factors and document indicators remain understandable.</w:t>
            </w:r>
          </w:p>
        </w:tc>
      </w:tr>
      <w:tr>
        <w:tc>
          <w:tcPr>
            <w:tcW w:type="dxa" w:w="1800"/>
            <w:tcMar>
              <w:top w:w="80" w:type="dxa"/>
              <w:start w:w="120" w:type="dxa"/>
              <w:bottom w:w="80" w:type="dxa"/>
              <w:end w:w="120" w:type="dxa"/>
            </w:tcMar>
            <w:vAlign w:val="center"/>
          </w:tcPr>
          <w:p>
            <w:pPr>
              <w:spacing w:after="0" w:line="264" w:lineRule="auto"/>
            </w:pPr>
            <w:r>
              <w:rPr>
                <w:rFonts w:ascii="Calibri" w:hAnsi="Calibri"/>
                <w:b w:val="0"/>
                <w:i w:val="0"/>
                <w:color w:val="243B53"/>
                <w:sz w:val="18"/>
              </w:rPr>
              <w:t>Responsive design</w:t>
            </w:r>
          </w:p>
        </w:tc>
        <w:tc>
          <w:tcPr>
            <w:tcW w:type="dxa" w:w="4000"/>
            <w:tcMar>
              <w:top w:w="80" w:type="dxa"/>
              <w:start w:w="120" w:type="dxa"/>
              <w:bottom w:w="80" w:type="dxa"/>
              <w:end w:w="120" w:type="dxa"/>
            </w:tcMar>
            <w:vAlign w:val="center"/>
          </w:tcPr>
          <w:p>
            <w:pPr>
              <w:spacing w:after="0" w:line="264" w:lineRule="auto"/>
            </w:pPr>
            <w:r>
              <w:rPr>
                <w:rFonts w:ascii="Calibri" w:hAnsi="Calibri"/>
                <w:b w:val="0"/>
                <w:i w:val="0"/>
                <w:color w:val="243B53"/>
                <w:sz w:val="18"/>
              </w:rPr>
              <w:t>Wide layout, light theme, wrapping header, and scalable components.</w:t>
            </w:r>
          </w:p>
        </w:tc>
        <w:tc>
          <w:tcPr>
            <w:tcW w:type="dxa" w:w="3560"/>
            <w:tcMar>
              <w:top w:w="80" w:type="dxa"/>
              <w:start w:w="120" w:type="dxa"/>
              <w:bottom w:w="80" w:type="dxa"/>
              <w:end w:w="120" w:type="dxa"/>
            </w:tcMar>
            <w:vAlign w:val="center"/>
          </w:tcPr>
          <w:p>
            <w:pPr>
              <w:spacing w:after="0" w:line="264" w:lineRule="auto"/>
            </w:pPr>
            <w:r>
              <w:rPr>
                <w:rFonts w:ascii="Calibri" w:hAnsi="Calibri"/>
                <w:b w:val="0"/>
                <w:i w:val="0"/>
                <w:color w:val="243B53"/>
                <w:sz w:val="18"/>
              </w:rPr>
              <w:t>Usable across laptop and larger review displays.</w:t>
            </w:r>
          </w:p>
        </w:tc>
      </w:tr>
      <w:tr>
        <w:tc>
          <w:tcPr>
            <w:tcW w:type="dxa" w:w="1800"/>
            <w:tcMar>
              <w:top w:w="80" w:type="dxa"/>
              <w:start w:w="120" w:type="dxa"/>
              <w:bottom w:w="80" w:type="dxa"/>
              <w:end w:w="120" w:type="dxa"/>
            </w:tcMar>
            <w:vAlign w:val="center"/>
          </w:tcPr>
          <w:p>
            <w:pPr>
              <w:spacing w:after="0" w:line="264" w:lineRule="auto"/>
            </w:pPr>
            <w:r>
              <w:rPr>
                <w:rFonts w:ascii="Calibri" w:hAnsi="Calibri"/>
                <w:b w:val="0"/>
                <w:i w:val="0"/>
                <w:color w:val="243B53"/>
                <w:sz w:val="18"/>
              </w:rPr>
              <w:t>Downloads</w:t>
            </w:r>
          </w:p>
        </w:tc>
        <w:tc>
          <w:tcPr>
            <w:tcW w:type="dxa" w:w="4000"/>
            <w:tcMar>
              <w:top w:w="80" w:type="dxa"/>
              <w:start w:w="120" w:type="dxa"/>
              <w:bottom w:w="80" w:type="dxa"/>
              <w:end w:w="120" w:type="dxa"/>
            </w:tcMar>
            <w:vAlign w:val="center"/>
          </w:tcPr>
          <w:p>
            <w:pPr>
              <w:spacing w:after="0" w:line="264" w:lineRule="auto"/>
            </w:pPr>
            <w:r>
              <w:rPr>
                <w:rFonts w:ascii="Calibri" w:hAnsi="Calibri"/>
                <w:b w:val="0"/>
                <w:i w:val="0"/>
                <w:color w:val="243B53"/>
                <w:sz w:val="18"/>
              </w:rPr>
              <w:t>Audit DataFrame is serialized to UTF-8 CSV.</w:t>
            </w:r>
          </w:p>
        </w:tc>
        <w:tc>
          <w:tcPr>
            <w:tcW w:type="dxa" w:w="3560"/>
            <w:tcMar>
              <w:top w:w="80" w:type="dxa"/>
              <w:start w:w="120" w:type="dxa"/>
              <w:bottom w:w="80" w:type="dxa"/>
              <w:end w:w="120" w:type="dxa"/>
            </w:tcMar>
            <w:vAlign w:val="center"/>
          </w:tcPr>
          <w:p>
            <w:pPr>
              <w:spacing w:after="0" w:line="264" w:lineRule="auto"/>
            </w:pPr>
            <w:r>
              <w:rPr>
                <w:rFonts w:ascii="Calibri" w:hAnsi="Calibri"/>
                <w:b w:val="0"/>
                <w:i w:val="0"/>
                <w:color w:val="243B53"/>
                <w:sz w:val="18"/>
              </w:rPr>
              <w:t>Portable evidence for demonstration or controlled review.</w:t>
            </w:r>
          </w:p>
        </w:tc>
      </w:tr>
    </w:tbl>
    <w:p>
      <w:pPr>
        <w:spacing w:after="40"/>
      </w:pPr>
    </w:p>
    <w:p>
      <w:pPr>
        <w:pStyle w:val="Heading1"/>
        <w:keepNext/>
      </w:pPr>
      <w:r>
        <w:t>7. Snowflake data and object contracts</w:t>
      </w:r>
    </w:p>
    <w:tbl>
      <w:tblPr>
        <w:tblW w:type="dxa" w:w="9360"/>
        <w:tblLayout w:type="fixed"/>
        <w:tblLook w:firstColumn="1" w:firstRow="1" w:lastColumn="0" w:lastRow="0" w:noHBand="0" w:noVBand="1" w:val="04A0"/>
        <w:jc w:val="left"/>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2800"/>
        <w:gridCol w:w="1300"/>
        <w:gridCol w:w="5260"/>
      </w:tblGrid>
      <w:tr>
        <w:trPr>
          <w:tblHeader w:val="true"/>
        </w:trPr>
        <w:tc>
          <w:tcPr>
            <w:tcW w:type="dxa" w:w="2800"/>
            <w:tcMar>
              <w:top w:w="80" w:type="dxa"/>
              <w:start w:w="120" w:type="dxa"/>
              <w:bottom w:w="80" w:type="dxa"/>
              <w:end w:w="120" w:type="dxa"/>
            </w:tcMar>
            <w:vAlign w:val="center"/>
            <w:shd w:fill="E8EEF5"/>
          </w:tcPr>
          <w:p>
            <w:pPr>
              <w:spacing w:after="0"/>
            </w:pPr>
            <w:r>
              <w:rPr>
                <w:rFonts w:ascii="Calibri" w:hAnsi="Calibri"/>
                <w:b/>
                <w:i w:val="0"/>
                <w:color w:val="102A43"/>
                <w:sz w:val="19"/>
              </w:rPr>
              <w:t>Object</w:t>
            </w:r>
          </w:p>
        </w:tc>
        <w:tc>
          <w:tcPr>
            <w:tcW w:type="dxa" w:w="1300"/>
            <w:tcMar>
              <w:top w:w="80" w:type="dxa"/>
              <w:start w:w="120" w:type="dxa"/>
              <w:bottom w:w="80" w:type="dxa"/>
              <w:end w:w="120" w:type="dxa"/>
            </w:tcMar>
            <w:vAlign w:val="center"/>
            <w:shd w:fill="E8EEF5"/>
          </w:tcPr>
          <w:p>
            <w:pPr>
              <w:spacing w:after="0"/>
            </w:pPr>
            <w:r>
              <w:rPr>
                <w:rFonts w:ascii="Calibri" w:hAnsi="Calibri"/>
                <w:b/>
                <w:i w:val="0"/>
                <w:color w:val="102A43"/>
                <w:sz w:val="19"/>
              </w:rPr>
              <w:t>Type</w:t>
            </w:r>
          </w:p>
        </w:tc>
        <w:tc>
          <w:tcPr>
            <w:tcW w:type="dxa" w:w="5260"/>
            <w:tcMar>
              <w:top w:w="80" w:type="dxa"/>
              <w:start w:w="120" w:type="dxa"/>
              <w:bottom w:w="80" w:type="dxa"/>
              <w:end w:w="120" w:type="dxa"/>
            </w:tcMar>
            <w:vAlign w:val="center"/>
            <w:shd w:fill="E8EEF5"/>
          </w:tcPr>
          <w:p>
            <w:pPr>
              <w:spacing w:after="0"/>
            </w:pPr>
            <w:r>
              <w:rPr>
                <w:rFonts w:ascii="Calibri" w:hAnsi="Calibri"/>
                <w:b/>
                <w:i w:val="0"/>
                <w:color w:val="102A43"/>
                <w:sz w:val="19"/>
              </w:rPr>
              <w:t>Application responsibility</w:t>
            </w:r>
          </w:p>
        </w:tc>
      </w:tr>
      <w:tr>
        <w:tc>
          <w:tcPr>
            <w:tcW w:type="dxa" w:w="2800"/>
            <w:tcMar>
              <w:top w:w="80" w:type="dxa"/>
              <w:start w:w="120" w:type="dxa"/>
              <w:bottom w:w="80" w:type="dxa"/>
              <w:end w:w="120" w:type="dxa"/>
            </w:tcMar>
            <w:vAlign w:val="center"/>
          </w:tcPr>
          <w:p>
            <w:pPr>
              <w:spacing w:after="0" w:line="264" w:lineRule="auto"/>
            </w:pPr>
            <w:r>
              <w:rPr>
                <w:rFonts w:ascii="Calibri" w:hAnsi="Calibri"/>
                <w:b w:val="0"/>
                <w:i w:val="0"/>
                <w:color w:val="243B53"/>
                <w:sz w:val="18"/>
              </w:rPr>
              <w:t>accounts</w:t>
            </w:r>
          </w:p>
        </w:tc>
        <w:tc>
          <w:tcPr>
            <w:tcW w:type="dxa" w:w="1300"/>
            <w:tcMar>
              <w:top w:w="80" w:type="dxa"/>
              <w:start w:w="120" w:type="dxa"/>
              <w:bottom w:w="80" w:type="dxa"/>
              <w:end w:w="120" w:type="dxa"/>
            </w:tcMar>
            <w:vAlign w:val="center"/>
          </w:tcPr>
          <w:p>
            <w:pPr>
              <w:spacing w:after="0" w:line="264" w:lineRule="auto"/>
            </w:pPr>
            <w:r>
              <w:rPr>
                <w:rFonts w:ascii="Calibri" w:hAnsi="Calibri"/>
                <w:b w:val="0"/>
                <w:i w:val="0"/>
                <w:color w:val="243B53"/>
                <w:sz w:val="18"/>
              </w:rPr>
              <w:t>Table</w:t>
            </w:r>
          </w:p>
        </w:tc>
        <w:tc>
          <w:tcPr>
            <w:tcW w:type="dxa" w:w="5260"/>
            <w:tcMar>
              <w:top w:w="80" w:type="dxa"/>
              <w:start w:w="120" w:type="dxa"/>
              <w:bottom w:w="80" w:type="dxa"/>
              <w:end w:w="120" w:type="dxa"/>
            </w:tcMar>
            <w:vAlign w:val="center"/>
          </w:tcPr>
          <w:p>
            <w:pPr>
              <w:spacing w:after="0" w:line="264" w:lineRule="auto"/>
            </w:pPr>
            <w:r>
              <w:rPr>
                <w:rFonts w:ascii="Calibri" w:hAnsi="Calibri"/>
                <w:b w:val="0"/>
                <w:i w:val="0"/>
                <w:color w:val="243B53"/>
                <w:sz w:val="18"/>
              </w:rPr>
              <w:t>Names, account type, sector, geography, employer linkage, and declared profile.</w:t>
            </w:r>
          </w:p>
        </w:tc>
      </w:tr>
      <w:tr>
        <w:tc>
          <w:tcPr>
            <w:tcW w:type="dxa" w:w="2800"/>
            <w:tcMar>
              <w:top w:w="80" w:type="dxa"/>
              <w:start w:w="120" w:type="dxa"/>
              <w:bottom w:w="80" w:type="dxa"/>
              <w:end w:w="120" w:type="dxa"/>
            </w:tcMar>
            <w:vAlign w:val="center"/>
          </w:tcPr>
          <w:p>
            <w:pPr>
              <w:spacing w:after="0" w:line="264" w:lineRule="auto"/>
            </w:pPr>
            <w:r>
              <w:rPr>
                <w:rFonts w:ascii="Calibri" w:hAnsi="Calibri"/>
                <w:b w:val="0"/>
                <w:i w:val="0"/>
                <w:color w:val="243B53"/>
                <w:sz w:val="18"/>
              </w:rPr>
              <w:t>transactions</w:t>
            </w:r>
          </w:p>
        </w:tc>
        <w:tc>
          <w:tcPr>
            <w:tcW w:type="dxa" w:w="1300"/>
            <w:tcMar>
              <w:top w:w="80" w:type="dxa"/>
              <w:start w:w="120" w:type="dxa"/>
              <w:bottom w:w="80" w:type="dxa"/>
              <w:end w:w="120" w:type="dxa"/>
            </w:tcMar>
            <w:vAlign w:val="center"/>
          </w:tcPr>
          <w:p>
            <w:pPr>
              <w:spacing w:after="0" w:line="264" w:lineRule="auto"/>
            </w:pPr>
            <w:r>
              <w:rPr>
                <w:rFonts w:ascii="Calibri" w:hAnsi="Calibri"/>
                <w:b w:val="0"/>
                <w:i w:val="0"/>
                <w:color w:val="243B53"/>
                <w:sz w:val="18"/>
              </w:rPr>
              <w:t>Table</w:t>
            </w:r>
          </w:p>
        </w:tc>
        <w:tc>
          <w:tcPr>
            <w:tcW w:type="dxa" w:w="5260"/>
            <w:tcMar>
              <w:top w:w="80" w:type="dxa"/>
              <w:start w:w="120" w:type="dxa"/>
              <w:bottom w:w="80" w:type="dxa"/>
              <w:end w:w="120" w:type="dxa"/>
            </w:tcMar>
            <w:vAlign w:val="center"/>
          </w:tcPr>
          <w:p>
            <w:pPr>
              <w:spacing w:after="0" w:line="264" w:lineRule="auto"/>
            </w:pPr>
            <w:r>
              <w:rPr>
                <w:rFonts w:ascii="Calibri" w:hAnsi="Calibri"/>
                <w:b w:val="0"/>
                <w:i w:val="0"/>
                <w:color w:val="243B53"/>
                <w:sz w:val="18"/>
              </w:rPr>
              <w:t>Payroll, transfer, card-spend, cash-out, channel, and geography behavior.</w:t>
            </w:r>
          </w:p>
        </w:tc>
      </w:tr>
      <w:tr>
        <w:tc>
          <w:tcPr>
            <w:tcW w:type="dxa" w:w="2800"/>
            <w:tcMar>
              <w:top w:w="80" w:type="dxa"/>
              <w:start w:w="120" w:type="dxa"/>
              <w:bottom w:w="80" w:type="dxa"/>
              <w:end w:w="120" w:type="dxa"/>
            </w:tcMar>
            <w:vAlign w:val="center"/>
          </w:tcPr>
          <w:p>
            <w:pPr>
              <w:spacing w:after="0" w:line="264" w:lineRule="auto"/>
            </w:pPr>
            <w:r>
              <w:rPr>
                <w:rFonts w:ascii="Calibri" w:hAnsi="Calibri"/>
                <w:b w:val="0"/>
                <w:i w:val="0"/>
                <w:color w:val="243B53"/>
                <w:sz w:val="18"/>
              </w:rPr>
              <w:t>kyc_profiles</w:t>
            </w:r>
          </w:p>
        </w:tc>
        <w:tc>
          <w:tcPr>
            <w:tcW w:type="dxa" w:w="1300"/>
            <w:tcMar>
              <w:top w:w="80" w:type="dxa"/>
              <w:start w:w="120" w:type="dxa"/>
              <w:bottom w:w="80" w:type="dxa"/>
              <w:end w:w="120" w:type="dxa"/>
            </w:tcMar>
            <w:vAlign w:val="center"/>
          </w:tcPr>
          <w:p>
            <w:pPr>
              <w:spacing w:after="0" w:line="264" w:lineRule="auto"/>
            </w:pPr>
            <w:r>
              <w:rPr>
                <w:rFonts w:ascii="Calibri" w:hAnsi="Calibri"/>
                <w:b w:val="0"/>
                <w:i w:val="0"/>
                <w:color w:val="243B53"/>
                <w:sz w:val="18"/>
              </w:rPr>
              <w:t>Table</w:t>
            </w:r>
          </w:p>
        </w:tc>
        <w:tc>
          <w:tcPr>
            <w:tcW w:type="dxa" w:w="5260"/>
            <w:tcMar>
              <w:top w:w="80" w:type="dxa"/>
              <w:start w:w="120" w:type="dxa"/>
              <w:bottom w:w="80" w:type="dxa"/>
              <w:end w:w="120" w:type="dxa"/>
            </w:tcMar>
            <w:vAlign w:val="center"/>
          </w:tcPr>
          <w:p>
            <w:pPr>
              <w:spacing w:after="0" w:line="264" w:lineRule="auto"/>
            </w:pPr>
            <w:r>
              <w:rPr>
                <w:rFonts w:ascii="Calibri" w:hAnsi="Calibri"/>
                <w:b w:val="0"/>
                <w:i w:val="0"/>
                <w:color w:val="243B53"/>
                <w:sz w:val="18"/>
              </w:rPr>
              <w:t>Customer type, occupation/business, ownership, source of funds, and KYC risk.</w:t>
            </w:r>
          </w:p>
        </w:tc>
      </w:tr>
      <w:tr>
        <w:tc>
          <w:tcPr>
            <w:tcW w:type="dxa" w:w="2800"/>
            <w:tcMar>
              <w:top w:w="80" w:type="dxa"/>
              <w:start w:w="120" w:type="dxa"/>
              <w:bottom w:w="80" w:type="dxa"/>
              <w:end w:w="120" w:type="dxa"/>
            </w:tcMar>
            <w:vAlign w:val="center"/>
          </w:tcPr>
          <w:p>
            <w:pPr>
              <w:spacing w:after="0" w:line="264" w:lineRule="auto"/>
            </w:pPr>
            <w:r>
              <w:rPr>
                <w:rFonts w:ascii="Calibri" w:hAnsi="Calibri"/>
                <w:b w:val="0"/>
                <w:i w:val="0"/>
                <w:color w:val="243B53"/>
                <w:sz w:val="18"/>
              </w:rPr>
              <w:t>device_ip_signals</w:t>
            </w:r>
          </w:p>
        </w:tc>
        <w:tc>
          <w:tcPr>
            <w:tcW w:type="dxa" w:w="1300"/>
            <w:tcMar>
              <w:top w:w="80" w:type="dxa"/>
              <w:start w:w="120" w:type="dxa"/>
              <w:bottom w:w="80" w:type="dxa"/>
              <w:end w:w="120" w:type="dxa"/>
            </w:tcMar>
            <w:vAlign w:val="center"/>
          </w:tcPr>
          <w:p>
            <w:pPr>
              <w:spacing w:after="0" w:line="264" w:lineRule="auto"/>
            </w:pPr>
            <w:r>
              <w:rPr>
                <w:rFonts w:ascii="Calibri" w:hAnsi="Calibri"/>
                <w:b w:val="0"/>
                <w:i w:val="0"/>
                <w:color w:val="243B53"/>
                <w:sz w:val="18"/>
              </w:rPr>
              <w:t>Table</w:t>
            </w:r>
          </w:p>
        </w:tc>
        <w:tc>
          <w:tcPr>
            <w:tcW w:type="dxa" w:w="5260"/>
            <w:tcMar>
              <w:top w:w="80" w:type="dxa"/>
              <w:start w:w="120" w:type="dxa"/>
              <w:bottom w:w="80" w:type="dxa"/>
              <w:end w:w="120" w:type="dxa"/>
            </w:tcMar>
            <w:vAlign w:val="center"/>
          </w:tcPr>
          <w:p>
            <w:pPr>
              <w:spacing w:after="0" w:line="264" w:lineRule="auto"/>
            </w:pPr>
            <w:r>
              <w:rPr>
                <w:rFonts w:ascii="Calibri" w:hAnsi="Calibri"/>
                <w:b w:val="0"/>
                <w:i w:val="0"/>
                <w:color w:val="243B53"/>
                <w:sz w:val="18"/>
              </w:rPr>
              <w:t>Shared device/IP access and successful-login evidence.</w:t>
            </w:r>
          </w:p>
        </w:tc>
      </w:tr>
      <w:tr>
        <w:tc>
          <w:tcPr>
            <w:tcW w:type="dxa" w:w="2800"/>
            <w:tcMar>
              <w:top w:w="80" w:type="dxa"/>
              <w:start w:w="120" w:type="dxa"/>
              <w:bottom w:w="80" w:type="dxa"/>
              <w:end w:w="120" w:type="dxa"/>
            </w:tcMar>
            <w:vAlign w:val="center"/>
          </w:tcPr>
          <w:p>
            <w:pPr>
              <w:spacing w:after="0" w:line="264" w:lineRule="auto"/>
            </w:pPr>
            <w:r>
              <w:rPr>
                <w:rFonts w:ascii="Calibri" w:hAnsi="Calibri"/>
                <w:b w:val="0"/>
                <w:i w:val="0"/>
                <w:color w:val="243B53"/>
                <w:sz w:val="18"/>
              </w:rPr>
              <w:t>external_watchlist</w:t>
            </w:r>
          </w:p>
        </w:tc>
        <w:tc>
          <w:tcPr>
            <w:tcW w:type="dxa" w:w="1300"/>
            <w:tcMar>
              <w:top w:w="80" w:type="dxa"/>
              <w:start w:w="120" w:type="dxa"/>
              <w:bottom w:w="80" w:type="dxa"/>
              <w:end w:w="120" w:type="dxa"/>
            </w:tcMar>
            <w:vAlign w:val="center"/>
          </w:tcPr>
          <w:p>
            <w:pPr>
              <w:spacing w:after="0" w:line="264" w:lineRule="auto"/>
            </w:pPr>
            <w:r>
              <w:rPr>
                <w:rFonts w:ascii="Calibri" w:hAnsi="Calibri"/>
                <w:b w:val="0"/>
                <w:i w:val="0"/>
                <w:color w:val="243B53"/>
                <w:sz w:val="18"/>
              </w:rPr>
              <w:t>Table</w:t>
            </w:r>
          </w:p>
        </w:tc>
        <w:tc>
          <w:tcPr>
            <w:tcW w:type="dxa" w:w="5260"/>
            <w:tcMar>
              <w:top w:w="80" w:type="dxa"/>
              <w:start w:w="120" w:type="dxa"/>
              <w:bottom w:w="80" w:type="dxa"/>
              <w:end w:w="120" w:type="dxa"/>
            </w:tcMar>
            <w:vAlign w:val="center"/>
          </w:tcPr>
          <w:p>
            <w:pPr>
              <w:spacing w:after="0" w:line="264" w:lineRule="auto"/>
            </w:pPr>
            <w:r>
              <w:rPr>
                <w:rFonts w:ascii="Calibri" w:hAnsi="Calibri"/>
                <w:b w:val="0"/>
                <w:i w:val="0"/>
                <w:color w:val="243B53"/>
                <w:sz w:val="18"/>
              </w:rPr>
              <w:t>Adverse media/watchlist source, match strength, risk, summary, and URL.</w:t>
            </w:r>
          </w:p>
        </w:tc>
      </w:tr>
      <w:tr>
        <w:tc>
          <w:tcPr>
            <w:tcW w:type="dxa" w:w="2800"/>
            <w:tcMar>
              <w:top w:w="80" w:type="dxa"/>
              <w:start w:w="120" w:type="dxa"/>
              <w:bottom w:w="80" w:type="dxa"/>
              <w:end w:w="120" w:type="dxa"/>
            </w:tcMar>
            <w:vAlign w:val="center"/>
          </w:tcPr>
          <w:p>
            <w:pPr>
              <w:spacing w:after="0" w:line="264" w:lineRule="auto"/>
            </w:pPr>
            <w:r>
              <w:rPr>
                <w:rFonts w:ascii="Calibri" w:hAnsi="Calibri"/>
                <w:b w:val="0"/>
                <w:i w:val="0"/>
                <w:color w:val="243B53"/>
                <w:sz w:val="18"/>
              </w:rPr>
              <w:t>document_evidence</w:t>
            </w:r>
          </w:p>
        </w:tc>
        <w:tc>
          <w:tcPr>
            <w:tcW w:type="dxa" w:w="1300"/>
            <w:tcMar>
              <w:top w:w="80" w:type="dxa"/>
              <w:start w:w="120" w:type="dxa"/>
              <w:bottom w:w="80" w:type="dxa"/>
              <w:end w:w="120" w:type="dxa"/>
            </w:tcMar>
            <w:vAlign w:val="center"/>
          </w:tcPr>
          <w:p>
            <w:pPr>
              <w:spacing w:after="0" w:line="264" w:lineRule="auto"/>
            </w:pPr>
            <w:r>
              <w:rPr>
                <w:rFonts w:ascii="Calibri" w:hAnsi="Calibri"/>
                <w:b w:val="0"/>
                <w:i w:val="0"/>
                <w:color w:val="243B53"/>
                <w:sz w:val="18"/>
              </w:rPr>
              <w:t>Table</w:t>
            </w:r>
          </w:p>
        </w:tc>
        <w:tc>
          <w:tcPr>
            <w:tcW w:type="dxa" w:w="5260"/>
            <w:tcMar>
              <w:top w:w="80" w:type="dxa"/>
              <w:start w:w="120" w:type="dxa"/>
              <w:bottom w:w="80" w:type="dxa"/>
              <w:end w:w="120" w:type="dxa"/>
            </w:tcMar>
            <w:vAlign w:val="center"/>
          </w:tcPr>
          <w:p>
            <w:pPr>
              <w:spacing w:after="0" w:line="264" w:lineRule="auto"/>
            </w:pPr>
            <w:r>
              <w:rPr>
                <w:rFonts w:ascii="Calibri" w:hAnsi="Calibri"/>
                <w:b w:val="0"/>
                <w:i w:val="0"/>
                <w:color w:val="243B53"/>
                <w:sz w:val="18"/>
              </w:rPr>
              <w:t>Document metadata, extraction confidence, indicators, summary, and status.</w:t>
            </w:r>
          </w:p>
        </w:tc>
      </w:tr>
      <w:tr>
        <w:tc>
          <w:tcPr>
            <w:tcW w:type="dxa" w:w="2800"/>
            <w:tcMar>
              <w:top w:w="80" w:type="dxa"/>
              <w:start w:w="120" w:type="dxa"/>
              <w:bottom w:w="80" w:type="dxa"/>
              <w:end w:w="120" w:type="dxa"/>
            </w:tcMar>
            <w:vAlign w:val="center"/>
          </w:tcPr>
          <w:p>
            <w:pPr>
              <w:spacing w:after="0" w:line="264" w:lineRule="auto"/>
            </w:pPr>
            <w:r>
              <w:rPr>
                <w:rFonts w:ascii="Calibri" w:hAnsi="Calibri"/>
                <w:b w:val="0"/>
                <w:i w:val="0"/>
                <w:color w:val="243B53"/>
                <w:sz w:val="18"/>
              </w:rPr>
              <w:t>case_alerts</w:t>
            </w:r>
          </w:p>
        </w:tc>
        <w:tc>
          <w:tcPr>
            <w:tcW w:type="dxa" w:w="1300"/>
            <w:tcMar>
              <w:top w:w="80" w:type="dxa"/>
              <w:start w:w="120" w:type="dxa"/>
              <w:bottom w:w="80" w:type="dxa"/>
              <w:end w:w="120" w:type="dxa"/>
            </w:tcMar>
            <w:vAlign w:val="center"/>
          </w:tcPr>
          <w:p>
            <w:pPr>
              <w:spacing w:after="0" w:line="264" w:lineRule="auto"/>
            </w:pPr>
            <w:r>
              <w:rPr>
                <w:rFonts w:ascii="Calibri" w:hAnsi="Calibri"/>
                <w:b w:val="0"/>
                <w:i w:val="0"/>
                <w:color w:val="243B53"/>
                <w:sz w:val="18"/>
              </w:rPr>
              <w:t>Table</w:t>
            </w:r>
          </w:p>
        </w:tc>
        <w:tc>
          <w:tcPr>
            <w:tcW w:type="dxa" w:w="5260"/>
            <w:tcMar>
              <w:top w:w="80" w:type="dxa"/>
              <w:start w:w="120" w:type="dxa"/>
              <w:bottom w:w="80" w:type="dxa"/>
              <w:end w:w="120" w:type="dxa"/>
            </w:tcMar>
            <w:vAlign w:val="center"/>
          </w:tcPr>
          <w:p>
            <w:pPr>
              <w:spacing w:after="0" w:line="264" w:lineRule="auto"/>
            </w:pPr>
            <w:r>
              <w:rPr>
                <w:rFonts w:ascii="Calibri" w:hAnsi="Calibri"/>
                <w:b w:val="0"/>
                <w:i w:val="0"/>
                <w:color w:val="243B53"/>
                <w:sz w:val="18"/>
              </w:rPr>
              <w:t>Case identity, priority, status, owner, creation time, and alert summary.</w:t>
            </w:r>
          </w:p>
        </w:tc>
      </w:tr>
      <w:tr>
        <w:tc>
          <w:tcPr>
            <w:tcW w:type="dxa" w:w="2800"/>
            <w:tcMar>
              <w:top w:w="80" w:type="dxa"/>
              <w:start w:w="120" w:type="dxa"/>
              <w:bottom w:w="80" w:type="dxa"/>
              <w:end w:w="120" w:type="dxa"/>
            </w:tcMar>
            <w:vAlign w:val="center"/>
          </w:tcPr>
          <w:p>
            <w:pPr>
              <w:spacing w:after="0" w:line="264" w:lineRule="auto"/>
            </w:pPr>
            <w:r>
              <w:rPr>
                <w:rFonts w:ascii="Calibri" w:hAnsi="Calibri"/>
                <w:b w:val="0"/>
                <w:i w:val="0"/>
                <w:color w:val="243B53"/>
                <w:sz w:val="18"/>
              </w:rPr>
              <w:t>case_risk_scores</w:t>
            </w:r>
          </w:p>
        </w:tc>
        <w:tc>
          <w:tcPr>
            <w:tcW w:type="dxa" w:w="1300"/>
            <w:tcMar>
              <w:top w:w="80" w:type="dxa"/>
              <w:start w:w="120" w:type="dxa"/>
              <w:bottom w:w="80" w:type="dxa"/>
              <w:end w:w="120" w:type="dxa"/>
            </w:tcMar>
            <w:vAlign w:val="center"/>
          </w:tcPr>
          <w:p>
            <w:pPr>
              <w:spacing w:after="0" w:line="264" w:lineRule="auto"/>
            </w:pPr>
            <w:r>
              <w:rPr>
                <w:rFonts w:ascii="Calibri" w:hAnsi="Calibri"/>
                <w:b w:val="0"/>
                <w:i w:val="0"/>
                <w:color w:val="243B53"/>
                <w:sz w:val="18"/>
              </w:rPr>
              <w:t>Table</w:t>
            </w:r>
          </w:p>
        </w:tc>
        <w:tc>
          <w:tcPr>
            <w:tcW w:type="dxa" w:w="5260"/>
            <w:tcMar>
              <w:top w:w="80" w:type="dxa"/>
              <w:start w:w="120" w:type="dxa"/>
              <w:bottom w:w="80" w:type="dxa"/>
              <w:end w:w="120" w:type="dxa"/>
            </w:tcMar>
            <w:vAlign w:val="center"/>
          </w:tcPr>
          <w:p>
            <w:pPr>
              <w:spacing w:after="0" w:line="264" w:lineRule="auto"/>
            </w:pPr>
            <w:r>
              <w:rPr>
                <w:rFonts w:ascii="Calibri" w:hAnsi="Calibri"/>
                <w:b w:val="0"/>
                <w:i w:val="0"/>
                <w:color w:val="243B53"/>
                <w:sz w:val="18"/>
              </w:rPr>
              <w:t>Persisted score snapshot, factors, route, breakdown, and version.</w:t>
            </w:r>
          </w:p>
        </w:tc>
      </w:tr>
      <w:tr>
        <w:tc>
          <w:tcPr>
            <w:tcW w:type="dxa" w:w="2800"/>
            <w:tcMar>
              <w:top w:w="80" w:type="dxa"/>
              <w:start w:w="120" w:type="dxa"/>
              <w:bottom w:w="80" w:type="dxa"/>
              <w:end w:w="120" w:type="dxa"/>
            </w:tcMar>
            <w:vAlign w:val="center"/>
          </w:tcPr>
          <w:p>
            <w:pPr>
              <w:spacing w:after="0" w:line="264" w:lineRule="auto"/>
            </w:pPr>
            <w:r>
              <w:rPr>
                <w:rFonts w:ascii="Calibri" w:hAnsi="Calibri"/>
                <w:b w:val="0"/>
                <w:i w:val="0"/>
                <w:color w:val="243B53"/>
                <w:sz w:val="18"/>
              </w:rPr>
              <w:t>case_decisions</w:t>
            </w:r>
          </w:p>
        </w:tc>
        <w:tc>
          <w:tcPr>
            <w:tcW w:type="dxa" w:w="1300"/>
            <w:tcMar>
              <w:top w:w="80" w:type="dxa"/>
              <w:start w:w="120" w:type="dxa"/>
              <w:bottom w:w="80" w:type="dxa"/>
              <w:end w:w="120" w:type="dxa"/>
            </w:tcMar>
            <w:vAlign w:val="center"/>
          </w:tcPr>
          <w:p>
            <w:pPr>
              <w:spacing w:after="0" w:line="264" w:lineRule="auto"/>
            </w:pPr>
            <w:r>
              <w:rPr>
                <w:rFonts w:ascii="Calibri" w:hAnsi="Calibri"/>
                <w:b w:val="0"/>
                <w:i w:val="0"/>
                <w:color w:val="243B53"/>
                <w:sz w:val="18"/>
              </w:rPr>
              <w:t>Table</w:t>
            </w:r>
          </w:p>
        </w:tc>
        <w:tc>
          <w:tcPr>
            <w:tcW w:type="dxa" w:w="5260"/>
            <w:tcMar>
              <w:top w:w="80" w:type="dxa"/>
              <w:start w:w="120" w:type="dxa"/>
              <w:bottom w:w="80" w:type="dxa"/>
              <w:end w:w="120" w:type="dxa"/>
            </w:tcMar>
            <w:vAlign w:val="center"/>
          </w:tcPr>
          <w:p>
            <w:pPr>
              <w:spacing w:after="0" w:line="264" w:lineRule="auto"/>
            </w:pPr>
            <w:r>
              <w:rPr>
                <w:rFonts w:ascii="Calibri" w:hAnsi="Calibri"/>
                <w:b w:val="0"/>
                <w:i w:val="0"/>
                <w:color w:val="243B53"/>
                <w:sz w:val="18"/>
              </w:rPr>
              <w:t>Reviewer choice, name, rationale, and timestamp.</w:t>
            </w:r>
          </w:p>
        </w:tc>
      </w:tr>
      <w:tr>
        <w:tc>
          <w:tcPr>
            <w:tcW w:type="dxa" w:w="2800"/>
            <w:tcMar>
              <w:top w:w="80" w:type="dxa"/>
              <w:start w:w="120" w:type="dxa"/>
              <w:bottom w:w="80" w:type="dxa"/>
              <w:end w:w="120" w:type="dxa"/>
            </w:tcMar>
            <w:vAlign w:val="center"/>
          </w:tcPr>
          <w:p>
            <w:pPr>
              <w:spacing w:after="0" w:line="264" w:lineRule="auto"/>
            </w:pPr>
            <w:r>
              <w:rPr>
                <w:rFonts w:ascii="Calibri" w:hAnsi="Calibri"/>
                <w:b w:val="0"/>
                <w:i w:val="0"/>
                <w:color w:val="243B53"/>
                <w:sz w:val="18"/>
              </w:rPr>
              <w:t>audit_events</w:t>
            </w:r>
          </w:p>
        </w:tc>
        <w:tc>
          <w:tcPr>
            <w:tcW w:type="dxa" w:w="1300"/>
            <w:tcMar>
              <w:top w:w="80" w:type="dxa"/>
              <w:start w:w="120" w:type="dxa"/>
              <w:bottom w:w="80" w:type="dxa"/>
              <w:end w:w="120" w:type="dxa"/>
            </w:tcMar>
            <w:vAlign w:val="center"/>
          </w:tcPr>
          <w:p>
            <w:pPr>
              <w:spacing w:after="0" w:line="264" w:lineRule="auto"/>
            </w:pPr>
            <w:r>
              <w:rPr>
                <w:rFonts w:ascii="Calibri" w:hAnsi="Calibri"/>
                <w:b w:val="0"/>
                <w:i w:val="0"/>
                <w:color w:val="243B53"/>
                <w:sz w:val="18"/>
              </w:rPr>
              <w:t>Table</w:t>
            </w:r>
          </w:p>
        </w:tc>
        <w:tc>
          <w:tcPr>
            <w:tcW w:type="dxa" w:w="5260"/>
            <w:tcMar>
              <w:top w:w="80" w:type="dxa"/>
              <w:start w:w="120" w:type="dxa"/>
              <w:bottom w:w="80" w:type="dxa"/>
              <w:end w:w="120" w:type="dxa"/>
            </w:tcMar>
            <w:vAlign w:val="center"/>
          </w:tcPr>
          <w:p>
            <w:pPr>
              <w:spacing w:after="0" w:line="264" w:lineRule="auto"/>
            </w:pPr>
            <w:r>
              <w:rPr>
                <w:rFonts w:ascii="Calibri" w:hAnsi="Calibri"/>
                <w:b w:val="0"/>
                <w:i w:val="0"/>
                <w:color w:val="243B53"/>
                <w:sz w:val="18"/>
              </w:rPr>
              <w:t>Machine and human events with actor, detail, object linkage, and metadata.</w:t>
            </w:r>
          </w:p>
        </w:tc>
      </w:tr>
      <w:tr>
        <w:tc>
          <w:tcPr>
            <w:tcW w:type="dxa" w:w="2800"/>
            <w:tcMar>
              <w:top w:w="80" w:type="dxa"/>
              <w:start w:w="120" w:type="dxa"/>
              <w:bottom w:w="80" w:type="dxa"/>
              <w:end w:w="120" w:type="dxa"/>
            </w:tcMar>
            <w:vAlign w:val="center"/>
          </w:tcPr>
          <w:p>
            <w:pPr>
              <w:spacing w:after="0" w:line="264" w:lineRule="auto"/>
            </w:pPr>
            <w:r>
              <w:rPr>
                <w:rFonts w:ascii="Calibri" w:hAnsi="Calibri"/>
                <w:b w:val="0"/>
                <w:i w:val="0"/>
                <w:color w:val="243B53"/>
                <w:sz w:val="18"/>
              </w:rPr>
              <w:t>vw_all_typology_signals</w:t>
            </w:r>
          </w:p>
        </w:tc>
        <w:tc>
          <w:tcPr>
            <w:tcW w:type="dxa" w:w="1300"/>
            <w:tcMar>
              <w:top w:w="80" w:type="dxa"/>
              <w:start w:w="120" w:type="dxa"/>
              <w:bottom w:w="80" w:type="dxa"/>
              <w:end w:w="120" w:type="dxa"/>
            </w:tcMar>
            <w:vAlign w:val="center"/>
          </w:tcPr>
          <w:p>
            <w:pPr>
              <w:spacing w:after="0" w:line="264" w:lineRule="auto"/>
            </w:pPr>
            <w:r>
              <w:rPr>
                <w:rFonts w:ascii="Calibri" w:hAnsi="Calibri"/>
                <w:b w:val="0"/>
                <w:i w:val="0"/>
                <w:color w:val="243B53"/>
                <w:sz w:val="18"/>
              </w:rPr>
              <w:t>View</w:t>
            </w:r>
          </w:p>
        </w:tc>
        <w:tc>
          <w:tcPr>
            <w:tcW w:type="dxa" w:w="5260"/>
            <w:tcMar>
              <w:top w:w="80" w:type="dxa"/>
              <w:start w:w="120" w:type="dxa"/>
              <w:bottom w:w="80" w:type="dxa"/>
              <w:end w:w="120" w:type="dxa"/>
            </w:tcMar>
            <w:vAlign w:val="center"/>
          </w:tcPr>
          <w:p>
            <w:pPr>
              <w:spacing w:after="0" w:line="264" w:lineRule="auto"/>
            </w:pPr>
            <w:r>
              <w:rPr>
                <w:rFonts w:ascii="Calibri" w:hAnsi="Calibri"/>
                <w:b w:val="0"/>
                <w:i w:val="0"/>
                <w:color w:val="243B53"/>
                <w:sz w:val="18"/>
              </w:rPr>
              <w:t>Unified five-signal contract for Typology Signals.</w:t>
            </w:r>
          </w:p>
        </w:tc>
      </w:tr>
      <w:tr>
        <w:tc>
          <w:tcPr>
            <w:tcW w:type="dxa" w:w="2800"/>
            <w:tcMar>
              <w:top w:w="80" w:type="dxa"/>
              <w:start w:w="120" w:type="dxa"/>
              <w:bottom w:w="80" w:type="dxa"/>
              <w:end w:w="120" w:type="dxa"/>
            </w:tcMar>
            <w:vAlign w:val="center"/>
          </w:tcPr>
          <w:p>
            <w:pPr>
              <w:spacing w:after="0" w:line="264" w:lineRule="auto"/>
            </w:pPr>
            <w:r>
              <w:rPr>
                <w:rFonts w:ascii="Calibri" w:hAnsi="Calibri"/>
                <w:b w:val="0"/>
                <w:i w:val="0"/>
                <w:color w:val="243B53"/>
                <w:sz w:val="18"/>
              </w:rPr>
              <w:t>vw_case_network</w:t>
            </w:r>
          </w:p>
        </w:tc>
        <w:tc>
          <w:tcPr>
            <w:tcW w:type="dxa" w:w="1300"/>
            <w:tcMar>
              <w:top w:w="80" w:type="dxa"/>
              <w:start w:w="120" w:type="dxa"/>
              <w:bottom w:w="80" w:type="dxa"/>
              <w:end w:w="120" w:type="dxa"/>
            </w:tcMar>
            <w:vAlign w:val="center"/>
          </w:tcPr>
          <w:p>
            <w:pPr>
              <w:spacing w:after="0" w:line="264" w:lineRule="auto"/>
            </w:pPr>
            <w:r>
              <w:rPr>
                <w:rFonts w:ascii="Calibri" w:hAnsi="Calibri"/>
                <w:b w:val="0"/>
                <w:i w:val="0"/>
                <w:color w:val="243B53"/>
                <w:sz w:val="18"/>
              </w:rPr>
              <w:t>View</w:t>
            </w:r>
          </w:p>
        </w:tc>
        <w:tc>
          <w:tcPr>
            <w:tcW w:type="dxa" w:w="5260"/>
            <w:tcMar>
              <w:top w:w="80" w:type="dxa"/>
              <w:start w:w="120" w:type="dxa"/>
              <w:bottom w:w="80" w:type="dxa"/>
              <w:end w:w="120" w:type="dxa"/>
            </w:tcMar>
            <w:vAlign w:val="center"/>
          </w:tcPr>
          <w:p>
            <w:pPr>
              <w:spacing w:after="0" w:line="264" w:lineRule="auto"/>
            </w:pPr>
            <w:r>
              <w:rPr>
                <w:rFonts w:ascii="Calibri" w:hAnsi="Calibri"/>
                <w:b w:val="0"/>
                <w:i w:val="0"/>
                <w:color w:val="243B53"/>
                <w:sz w:val="18"/>
              </w:rPr>
              <w:t>Case edges used by graph and network evidence table.</w:t>
            </w:r>
          </w:p>
        </w:tc>
      </w:tr>
      <w:tr>
        <w:tc>
          <w:tcPr>
            <w:tcW w:type="dxa" w:w="2800"/>
            <w:tcMar>
              <w:top w:w="80" w:type="dxa"/>
              <w:start w:w="120" w:type="dxa"/>
              <w:bottom w:w="80" w:type="dxa"/>
              <w:end w:w="120" w:type="dxa"/>
            </w:tcMar>
            <w:vAlign w:val="center"/>
          </w:tcPr>
          <w:p>
            <w:pPr>
              <w:spacing w:after="0" w:line="264" w:lineRule="auto"/>
            </w:pPr>
            <w:r>
              <w:rPr>
                <w:rFonts w:ascii="Calibri" w:hAnsi="Calibri"/>
                <w:b w:val="0"/>
                <w:i w:val="0"/>
                <w:color w:val="243B53"/>
                <w:sz w:val="18"/>
              </w:rPr>
              <w:t>vw_case_risk_summary</w:t>
            </w:r>
          </w:p>
        </w:tc>
        <w:tc>
          <w:tcPr>
            <w:tcW w:type="dxa" w:w="1300"/>
            <w:tcMar>
              <w:top w:w="80" w:type="dxa"/>
              <w:start w:w="120" w:type="dxa"/>
              <w:bottom w:w="80" w:type="dxa"/>
              <w:end w:w="120" w:type="dxa"/>
            </w:tcMar>
            <w:vAlign w:val="center"/>
          </w:tcPr>
          <w:p>
            <w:pPr>
              <w:spacing w:after="0" w:line="264" w:lineRule="auto"/>
            </w:pPr>
            <w:r>
              <w:rPr>
                <w:rFonts w:ascii="Calibri" w:hAnsi="Calibri"/>
                <w:b w:val="0"/>
                <w:i w:val="0"/>
                <w:color w:val="243B53"/>
                <w:sz w:val="18"/>
              </w:rPr>
              <w:t>View</w:t>
            </w:r>
          </w:p>
        </w:tc>
        <w:tc>
          <w:tcPr>
            <w:tcW w:type="dxa" w:w="5260"/>
            <w:tcMar>
              <w:top w:w="80" w:type="dxa"/>
              <w:start w:w="120" w:type="dxa"/>
              <w:bottom w:w="80" w:type="dxa"/>
              <w:end w:w="120" w:type="dxa"/>
            </w:tcMar>
            <w:vAlign w:val="center"/>
          </w:tcPr>
          <w:p>
            <w:pPr>
              <w:spacing w:after="0" w:line="264" w:lineRule="auto"/>
            </w:pPr>
            <w:r>
              <w:rPr>
                <w:rFonts w:ascii="Calibri" w:hAnsi="Calibri"/>
                <w:b w:val="0"/>
                <w:i w:val="0"/>
                <w:color w:val="243B53"/>
                <w:sz w:val="18"/>
              </w:rPr>
              <w:t>Live score, band, evidence strength, factors, route, and breakdown.</w:t>
            </w:r>
          </w:p>
        </w:tc>
      </w:tr>
      <w:tr>
        <w:tc>
          <w:tcPr>
            <w:tcW w:type="dxa" w:w="2800"/>
            <w:tcMar>
              <w:top w:w="80" w:type="dxa"/>
              <w:start w:w="120" w:type="dxa"/>
              <w:bottom w:w="80" w:type="dxa"/>
              <w:end w:w="120" w:type="dxa"/>
            </w:tcMar>
            <w:vAlign w:val="center"/>
          </w:tcPr>
          <w:p>
            <w:pPr>
              <w:spacing w:after="0" w:line="264" w:lineRule="auto"/>
            </w:pPr>
            <w:r>
              <w:rPr>
                <w:rFonts w:ascii="Calibri" w:hAnsi="Calibri"/>
                <w:b w:val="0"/>
                <w:i w:val="0"/>
                <w:color w:val="243B53"/>
                <w:sz w:val="18"/>
              </w:rPr>
              <w:t>vw_case_intelligence_brief</w:t>
            </w:r>
          </w:p>
        </w:tc>
        <w:tc>
          <w:tcPr>
            <w:tcW w:type="dxa" w:w="1300"/>
            <w:tcMar>
              <w:top w:w="80" w:type="dxa"/>
              <w:start w:w="120" w:type="dxa"/>
              <w:bottom w:w="80" w:type="dxa"/>
              <w:end w:w="120" w:type="dxa"/>
            </w:tcMar>
            <w:vAlign w:val="center"/>
          </w:tcPr>
          <w:p>
            <w:pPr>
              <w:spacing w:after="0" w:line="264" w:lineRule="auto"/>
            </w:pPr>
            <w:r>
              <w:rPr>
                <w:rFonts w:ascii="Calibri" w:hAnsi="Calibri"/>
                <w:b w:val="0"/>
                <w:i w:val="0"/>
                <w:color w:val="243B53"/>
                <w:sz w:val="18"/>
              </w:rPr>
              <w:t>View</w:t>
            </w:r>
          </w:p>
        </w:tc>
        <w:tc>
          <w:tcPr>
            <w:tcW w:type="dxa" w:w="5260"/>
            <w:tcMar>
              <w:top w:w="80" w:type="dxa"/>
              <w:start w:w="120" w:type="dxa"/>
              <w:bottom w:w="80" w:type="dxa"/>
              <w:end w:w="120" w:type="dxa"/>
            </w:tcMar>
            <w:vAlign w:val="center"/>
          </w:tcPr>
          <w:p>
            <w:pPr>
              <w:spacing w:after="0" w:line="264" w:lineRule="auto"/>
            </w:pPr>
            <w:r>
              <w:rPr>
                <w:rFonts w:ascii="Calibri" w:hAnsi="Calibri"/>
                <w:b w:val="0"/>
                <w:i w:val="0"/>
                <w:color w:val="243B53"/>
                <w:sz w:val="18"/>
              </w:rPr>
              <w:t>Deterministic investigation narrative and bounded prompt.</w:t>
            </w:r>
          </w:p>
        </w:tc>
      </w:tr>
      <w:tr>
        <w:tc>
          <w:tcPr>
            <w:tcW w:type="dxa" w:w="2800"/>
            <w:tcMar>
              <w:top w:w="80" w:type="dxa"/>
              <w:start w:w="120" w:type="dxa"/>
              <w:bottom w:w="80" w:type="dxa"/>
              <w:end w:w="120" w:type="dxa"/>
            </w:tcMar>
            <w:vAlign w:val="center"/>
          </w:tcPr>
          <w:p>
            <w:pPr>
              <w:spacing w:after="0" w:line="264" w:lineRule="auto"/>
            </w:pPr>
            <w:r>
              <w:rPr>
                <w:rFonts w:ascii="Calibri" w:hAnsi="Calibri"/>
                <w:b w:val="0"/>
                <w:i w:val="0"/>
                <w:color w:val="243B53"/>
                <w:sz w:val="18"/>
              </w:rPr>
              <w:t>sp_record_case_decision</w:t>
            </w:r>
          </w:p>
        </w:tc>
        <w:tc>
          <w:tcPr>
            <w:tcW w:type="dxa" w:w="1300"/>
            <w:tcMar>
              <w:top w:w="80" w:type="dxa"/>
              <w:start w:w="120" w:type="dxa"/>
              <w:bottom w:w="80" w:type="dxa"/>
              <w:end w:w="120" w:type="dxa"/>
            </w:tcMar>
            <w:vAlign w:val="center"/>
          </w:tcPr>
          <w:p>
            <w:pPr>
              <w:spacing w:after="0" w:line="264" w:lineRule="auto"/>
            </w:pPr>
            <w:r>
              <w:rPr>
                <w:rFonts w:ascii="Calibri" w:hAnsi="Calibri"/>
                <w:b w:val="0"/>
                <w:i w:val="0"/>
                <w:color w:val="243B53"/>
                <w:sz w:val="18"/>
              </w:rPr>
              <w:t>Procedure</w:t>
            </w:r>
          </w:p>
        </w:tc>
        <w:tc>
          <w:tcPr>
            <w:tcW w:type="dxa" w:w="5260"/>
            <w:tcMar>
              <w:top w:w="80" w:type="dxa"/>
              <w:start w:w="120" w:type="dxa"/>
              <w:bottom w:w="80" w:type="dxa"/>
              <w:end w:w="120" w:type="dxa"/>
            </w:tcMar>
            <w:vAlign w:val="center"/>
          </w:tcPr>
          <w:p>
            <w:pPr>
              <w:spacing w:after="0" w:line="264" w:lineRule="auto"/>
            </w:pPr>
            <w:r>
              <w:rPr>
                <w:rFonts w:ascii="Calibri" w:hAnsi="Calibri"/>
                <w:b w:val="0"/>
                <w:i w:val="0"/>
                <w:color w:val="243B53"/>
                <w:sz w:val="18"/>
              </w:rPr>
              <w:t>Atomic decision, audit, and alert-status transaction.</w:t>
            </w:r>
          </w:p>
        </w:tc>
      </w:tr>
    </w:tbl>
    <w:p>
      <w:pPr>
        <w:spacing w:after="40"/>
      </w:pPr>
    </w:p>
    <w:p>
      <w:pPr>
        <w:pStyle w:val="Heading1"/>
        <w:keepNext/>
      </w:pPr>
      <w:r>
        <w:t>8. Error and empty-state behavior</w:t>
      </w:r>
    </w:p>
    <w:tbl>
      <w:tblPr>
        <w:tblW w:type="dxa" w:w="9360"/>
        <w:tblLayout w:type="fixed"/>
        <w:tblLook w:firstColumn="1" w:firstRow="1" w:lastColumn="0" w:lastRow="0" w:noHBand="0" w:noVBand="1" w:val="04A0"/>
        <w:jc w:val="left"/>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2400"/>
        <w:gridCol w:w="4100"/>
        <w:gridCol w:w="2860"/>
      </w:tblGrid>
      <w:tr>
        <w:trPr>
          <w:tblHeader w:val="true"/>
        </w:trPr>
        <w:tc>
          <w:tcPr>
            <w:tcW w:type="dxa" w:w="2400"/>
            <w:tcMar>
              <w:top w:w="80" w:type="dxa"/>
              <w:start w:w="120" w:type="dxa"/>
              <w:bottom w:w="80" w:type="dxa"/>
              <w:end w:w="120" w:type="dxa"/>
            </w:tcMar>
            <w:vAlign w:val="center"/>
            <w:shd w:fill="E8EEF5"/>
          </w:tcPr>
          <w:p>
            <w:pPr>
              <w:spacing w:after="0"/>
            </w:pPr>
            <w:r>
              <w:rPr>
                <w:rFonts w:ascii="Calibri" w:hAnsi="Calibri"/>
                <w:b/>
                <w:i w:val="0"/>
                <w:color w:val="102A43"/>
                <w:sz w:val="19"/>
              </w:rPr>
              <w:t>Condition</w:t>
            </w:r>
          </w:p>
        </w:tc>
        <w:tc>
          <w:tcPr>
            <w:tcW w:type="dxa" w:w="4100"/>
            <w:tcMar>
              <w:top w:w="80" w:type="dxa"/>
              <w:start w:w="120" w:type="dxa"/>
              <w:bottom w:w="80" w:type="dxa"/>
              <w:end w:w="120" w:type="dxa"/>
            </w:tcMar>
            <w:vAlign w:val="center"/>
            <w:shd w:fill="E8EEF5"/>
          </w:tcPr>
          <w:p>
            <w:pPr>
              <w:spacing w:after="0"/>
            </w:pPr>
            <w:r>
              <w:rPr>
                <w:rFonts w:ascii="Calibri" w:hAnsi="Calibri"/>
                <w:b/>
                <w:i w:val="0"/>
                <w:color w:val="102A43"/>
                <w:sz w:val="19"/>
              </w:rPr>
              <w:t>Application response</w:t>
            </w:r>
          </w:p>
        </w:tc>
        <w:tc>
          <w:tcPr>
            <w:tcW w:type="dxa" w:w="2860"/>
            <w:tcMar>
              <w:top w:w="80" w:type="dxa"/>
              <w:start w:w="120" w:type="dxa"/>
              <w:bottom w:w="80" w:type="dxa"/>
              <w:end w:w="120" w:type="dxa"/>
            </w:tcMar>
            <w:vAlign w:val="center"/>
            <w:shd w:fill="E8EEF5"/>
          </w:tcPr>
          <w:p>
            <w:pPr>
              <w:spacing w:after="0"/>
            </w:pPr>
            <w:r>
              <w:rPr>
                <w:rFonts w:ascii="Calibri" w:hAnsi="Calibri"/>
                <w:b/>
                <w:i w:val="0"/>
                <w:color w:val="102A43"/>
                <w:sz w:val="19"/>
              </w:rPr>
              <w:t>Operator action</w:t>
            </w:r>
          </w:p>
        </w:tc>
      </w:tr>
      <w:tr>
        <w:tc>
          <w:tcPr>
            <w:tcW w:type="dxa" w:w="2400"/>
            <w:tcMar>
              <w:top w:w="80" w:type="dxa"/>
              <w:start w:w="120" w:type="dxa"/>
              <w:bottom w:w="80" w:type="dxa"/>
              <w:end w:w="120" w:type="dxa"/>
            </w:tcMar>
            <w:vAlign w:val="center"/>
          </w:tcPr>
          <w:p>
            <w:pPr>
              <w:spacing w:after="0" w:line="264" w:lineRule="auto"/>
            </w:pPr>
            <w:r>
              <w:rPr>
                <w:rFonts w:ascii="Calibri" w:hAnsi="Calibri"/>
                <w:b w:val="0"/>
                <w:i w:val="0"/>
                <w:color w:val="243B53"/>
                <w:sz w:val="18"/>
              </w:rPr>
              <w:t>Snowflake connection or setup incomplete</w:t>
            </w:r>
          </w:p>
        </w:tc>
        <w:tc>
          <w:tcPr>
            <w:tcW w:type="dxa" w:w="4100"/>
            <w:tcMar>
              <w:top w:w="80" w:type="dxa"/>
              <w:start w:w="120" w:type="dxa"/>
              <w:bottom w:w="80" w:type="dxa"/>
              <w:end w:w="120" w:type="dxa"/>
            </w:tcMar>
            <w:vAlign w:val="center"/>
          </w:tcPr>
          <w:p>
            <w:pPr>
              <w:spacing w:after="0" w:line="264" w:lineRule="auto"/>
            </w:pPr>
            <w:r>
              <w:rPr>
                <w:rFonts w:ascii="Calibri" w:hAnsi="Calibri"/>
                <w:b w:val="0"/>
                <w:i w:val="0"/>
                <w:color w:val="243B53"/>
                <w:sz w:val="18"/>
              </w:rPr>
              <w:t>Shows an error, lists the six build scripts, displays connection detail, and stops.</w:t>
            </w:r>
          </w:p>
        </w:tc>
        <w:tc>
          <w:tcPr>
            <w:tcW w:type="dxa" w:w="2860"/>
            <w:tcMar>
              <w:top w:w="80" w:type="dxa"/>
              <w:start w:w="120" w:type="dxa"/>
              <w:bottom w:w="80" w:type="dxa"/>
              <w:end w:w="120" w:type="dxa"/>
            </w:tcMar>
            <w:vAlign w:val="center"/>
          </w:tcPr>
          <w:p>
            <w:pPr>
              <w:spacing w:after="0" w:line="264" w:lineRule="auto"/>
            </w:pPr>
            <w:r>
              <w:rPr>
                <w:rFonts w:ascii="Calibri" w:hAnsi="Calibri"/>
                <w:b w:val="0"/>
                <w:i w:val="0"/>
                <w:color w:val="243B53"/>
                <w:sz w:val="18"/>
              </w:rPr>
              <w:t>Verify connection and execute SQL files in order.</w:t>
            </w:r>
          </w:p>
        </w:tc>
      </w:tr>
      <w:tr>
        <w:tc>
          <w:tcPr>
            <w:tcW w:type="dxa" w:w="2400"/>
            <w:tcMar>
              <w:top w:w="80" w:type="dxa"/>
              <w:start w:w="120" w:type="dxa"/>
              <w:bottom w:w="80" w:type="dxa"/>
              <w:end w:w="120" w:type="dxa"/>
            </w:tcMar>
            <w:vAlign w:val="center"/>
          </w:tcPr>
          <w:p>
            <w:pPr>
              <w:spacing w:after="0" w:line="264" w:lineRule="auto"/>
            </w:pPr>
            <w:r>
              <w:rPr>
                <w:rFonts w:ascii="Calibri" w:hAnsi="Calibri"/>
                <w:b w:val="0"/>
                <w:i w:val="0"/>
                <w:color w:val="243B53"/>
                <w:sz w:val="18"/>
              </w:rPr>
              <w:t>No cases available</w:t>
            </w:r>
          </w:p>
        </w:tc>
        <w:tc>
          <w:tcPr>
            <w:tcW w:type="dxa" w:w="4100"/>
            <w:tcMar>
              <w:top w:w="80" w:type="dxa"/>
              <w:start w:w="120" w:type="dxa"/>
              <w:bottom w:w="80" w:type="dxa"/>
              <w:end w:w="120" w:type="dxa"/>
            </w:tcMar>
            <w:vAlign w:val="center"/>
          </w:tcPr>
          <w:p>
            <w:pPr>
              <w:spacing w:after="0" w:line="264" w:lineRule="auto"/>
            </w:pPr>
            <w:r>
              <w:rPr>
                <w:rFonts w:ascii="Calibri" w:hAnsi="Calibri"/>
                <w:b w:val="0"/>
                <w:i w:val="0"/>
                <w:color w:val="243B53"/>
                <w:sz w:val="18"/>
              </w:rPr>
              <w:t>Shows a warning and stops.</w:t>
            </w:r>
          </w:p>
        </w:tc>
        <w:tc>
          <w:tcPr>
            <w:tcW w:type="dxa" w:w="2860"/>
            <w:tcMar>
              <w:top w:w="80" w:type="dxa"/>
              <w:start w:w="120" w:type="dxa"/>
              <w:bottom w:w="80" w:type="dxa"/>
              <w:end w:w="120" w:type="dxa"/>
            </w:tcMar>
            <w:vAlign w:val="center"/>
          </w:tcPr>
          <w:p>
            <w:pPr>
              <w:spacing w:after="0" w:line="264" w:lineRule="auto"/>
            </w:pPr>
            <w:r>
              <w:rPr>
                <w:rFonts w:ascii="Calibri" w:hAnsi="Calibri"/>
                <w:b w:val="0"/>
                <w:i w:val="0"/>
                <w:color w:val="243B53"/>
                <w:sz w:val="18"/>
              </w:rPr>
              <w:t>Load seed data and rebuild views.</w:t>
            </w:r>
          </w:p>
        </w:tc>
      </w:tr>
      <w:tr>
        <w:tc>
          <w:tcPr>
            <w:tcW w:type="dxa" w:w="2400"/>
            <w:tcMar>
              <w:top w:w="80" w:type="dxa"/>
              <w:start w:w="120" w:type="dxa"/>
              <w:bottom w:w="80" w:type="dxa"/>
              <w:end w:w="120" w:type="dxa"/>
            </w:tcMar>
            <w:vAlign w:val="center"/>
          </w:tcPr>
          <w:p>
            <w:pPr>
              <w:spacing w:after="0" w:line="264" w:lineRule="auto"/>
            </w:pPr>
            <w:r>
              <w:rPr>
                <w:rFonts w:ascii="Calibri" w:hAnsi="Calibri"/>
                <w:b w:val="0"/>
                <w:i w:val="0"/>
                <w:color w:val="243B53"/>
                <w:sz w:val="18"/>
              </w:rPr>
              <w:t>No network edges</w:t>
            </w:r>
          </w:p>
        </w:tc>
        <w:tc>
          <w:tcPr>
            <w:tcW w:type="dxa" w:w="4100"/>
            <w:tcMar>
              <w:top w:w="80" w:type="dxa"/>
              <w:start w:w="120" w:type="dxa"/>
              <w:bottom w:w="80" w:type="dxa"/>
              <w:end w:w="120" w:type="dxa"/>
            </w:tcMar>
            <w:vAlign w:val="center"/>
          </w:tcPr>
          <w:p>
            <w:pPr>
              <w:spacing w:after="0" w:line="264" w:lineRule="auto"/>
            </w:pPr>
            <w:r>
              <w:rPr>
                <w:rFonts w:ascii="Calibri" w:hAnsi="Calibri"/>
                <w:b w:val="0"/>
                <w:i w:val="0"/>
                <w:color w:val="243B53"/>
                <w:sz w:val="18"/>
              </w:rPr>
              <w:t>Shows an informational message instead of an empty chart.</w:t>
            </w:r>
          </w:p>
        </w:tc>
        <w:tc>
          <w:tcPr>
            <w:tcW w:type="dxa" w:w="2860"/>
            <w:tcMar>
              <w:top w:w="80" w:type="dxa"/>
              <w:start w:w="120" w:type="dxa"/>
              <w:bottom w:w="80" w:type="dxa"/>
              <w:end w:w="120" w:type="dxa"/>
            </w:tcMar>
            <w:vAlign w:val="center"/>
          </w:tcPr>
          <w:p>
            <w:pPr>
              <w:spacing w:after="0" w:line="264" w:lineRule="auto"/>
            </w:pPr>
            <w:r>
              <w:rPr>
                <w:rFonts w:ascii="Calibri" w:hAnsi="Calibri"/>
                <w:b w:val="0"/>
                <w:i w:val="0"/>
                <w:color w:val="243B53"/>
                <w:sz w:val="18"/>
              </w:rPr>
              <w:t>Confirm the case has network-qualified transactions.</w:t>
            </w:r>
          </w:p>
        </w:tc>
      </w:tr>
      <w:tr>
        <w:tc>
          <w:tcPr>
            <w:tcW w:type="dxa" w:w="2400"/>
            <w:tcMar>
              <w:top w:w="80" w:type="dxa"/>
              <w:start w:w="120" w:type="dxa"/>
              <w:bottom w:w="80" w:type="dxa"/>
              <w:end w:w="120" w:type="dxa"/>
            </w:tcMar>
            <w:vAlign w:val="center"/>
          </w:tcPr>
          <w:p>
            <w:pPr>
              <w:spacing w:after="0" w:line="264" w:lineRule="auto"/>
            </w:pPr>
            <w:r>
              <w:rPr>
                <w:rFonts w:ascii="Calibri" w:hAnsi="Calibri"/>
                <w:b w:val="0"/>
                <w:i w:val="0"/>
                <w:color w:val="243B53"/>
                <w:sz w:val="18"/>
              </w:rPr>
              <w:t>Decision fields incomplete</w:t>
            </w:r>
          </w:p>
        </w:tc>
        <w:tc>
          <w:tcPr>
            <w:tcW w:type="dxa" w:w="4100"/>
            <w:tcMar>
              <w:top w:w="80" w:type="dxa"/>
              <w:start w:w="120" w:type="dxa"/>
              <w:bottom w:w="80" w:type="dxa"/>
              <w:end w:w="120" w:type="dxa"/>
            </w:tcMar>
            <w:vAlign w:val="center"/>
          </w:tcPr>
          <w:p>
            <w:pPr>
              <w:spacing w:after="0" w:line="264" w:lineRule="auto"/>
            </w:pPr>
            <w:r>
              <w:rPr>
                <w:rFonts w:ascii="Calibri" w:hAnsi="Calibri"/>
                <w:b w:val="0"/>
                <w:i w:val="0"/>
                <w:color w:val="243B53"/>
                <w:sz w:val="18"/>
              </w:rPr>
              <w:t>Shows a validation error without calling the procedure.</w:t>
            </w:r>
          </w:p>
        </w:tc>
        <w:tc>
          <w:tcPr>
            <w:tcW w:type="dxa" w:w="2860"/>
            <w:tcMar>
              <w:top w:w="80" w:type="dxa"/>
              <w:start w:w="120" w:type="dxa"/>
              <w:bottom w:w="80" w:type="dxa"/>
              <w:end w:w="120" w:type="dxa"/>
            </w:tcMar>
            <w:vAlign w:val="center"/>
          </w:tcPr>
          <w:p>
            <w:pPr>
              <w:spacing w:after="0" w:line="264" w:lineRule="auto"/>
            </w:pPr>
            <w:r>
              <w:rPr>
                <w:rFonts w:ascii="Calibri" w:hAnsi="Calibri"/>
                <w:b w:val="0"/>
                <w:i w:val="0"/>
                <w:color w:val="243B53"/>
                <w:sz w:val="18"/>
              </w:rPr>
              <w:t>Provide reviewer, rationale, and acknowledgement.</w:t>
            </w:r>
          </w:p>
        </w:tc>
      </w:tr>
      <w:tr>
        <w:tc>
          <w:tcPr>
            <w:tcW w:type="dxa" w:w="2400"/>
            <w:tcMar>
              <w:top w:w="80" w:type="dxa"/>
              <w:start w:w="120" w:type="dxa"/>
              <w:bottom w:w="80" w:type="dxa"/>
              <w:end w:w="120" w:type="dxa"/>
            </w:tcMar>
            <w:vAlign w:val="center"/>
          </w:tcPr>
          <w:p>
            <w:pPr>
              <w:spacing w:after="0" w:line="264" w:lineRule="auto"/>
            </w:pPr>
            <w:r>
              <w:rPr>
                <w:rFonts w:ascii="Calibri" w:hAnsi="Calibri"/>
                <w:b w:val="0"/>
                <w:i w:val="0"/>
                <w:color w:val="243B53"/>
                <w:sz w:val="18"/>
              </w:rPr>
              <w:t>Decision procedure fails</w:t>
            </w:r>
          </w:p>
        </w:tc>
        <w:tc>
          <w:tcPr>
            <w:tcW w:type="dxa" w:w="4100"/>
            <w:tcMar>
              <w:top w:w="80" w:type="dxa"/>
              <w:start w:w="120" w:type="dxa"/>
              <w:bottom w:w="80" w:type="dxa"/>
              <w:end w:w="120" w:type="dxa"/>
            </w:tcMar>
            <w:vAlign w:val="center"/>
          </w:tcPr>
          <w:p>
            <w:pPr>
              <w:spacing w:after="0" w:line="264" w:lineRule="auto"/>
            </w:pPr>
            <w:r>
              <w:rPr>
                <w:rFonts w:ascii="Calibri" w:hAnsi="Calibri"/>
                <w:b w:val="0"/>
                <w:i w:val="0"/>
                <w:color w:val="243B53"/>
                <w:sz w:val="18"/>
              </w:rPr>
              <w:t>Shows the Snowflake exception and leaves the transaction rolled back.</w:t>
            </w:r>
          </w:p>
        </w:tc>
        <w:tc>
          <w:tcPr>
            <w:tcW w:type="dxa" w:w="2860"/>
            <w:tcMar>
              <w:top w:w="80" w:type="dxa"/>
              <w:start w:w="120" w:type="dxa"/>
              <w:bottom w:w="80" w:type="dxa"/>
              <w:end w:w="120" w:type="dxa"/>
            </w:tcMar>
            <w:vAlign w:val="center"/>
          </w:tcPr>
          <w:p>
            <w:pPr>
              <w:spacing w:after="0" w:line="264" w:lineRule="auto"/>
            </w:pPr>
            <w:r>
              <w:rPr>
                <w:rFonts w:ascii="Calibri" w:hAnsi="Calibri"/>
                <w:b w:val="0"/>
                <w:i w:val="0"/>
                <w:color w:val="243B53"/>
                <w:sz w:val="18"/>
              </w:rPr>
              <w:t>Correct permissions or input, then retry.</w:t>
            </w:r>
          </w:p>
        </w:tc>
      </w:tr>
      <w:tr>
        <w:tc>
          <w:tcPr>
            <w:tcW w:type="dxa" w:w="2400"/>
            <w:tcMar>
              <w:top w:w="80" w:type="dxa"/>
              <w:start w:w="120" w:type="dxa"/>
              <w:bottom w:w="80" w:type="dxa"/>
              <w:end w:w="120" w:type="dxa"/>
            </w:tcMar>
            <w:vAlign w:val="center"/>
          </w:tcPr>
          <w:p>
            <w:pPr>
              <w:spacing w:after="0" w:line="264" w:lineRule="auto"/>
            </w:pPr>
            <w:r>
              <w:rPr>
                <w:rFonts w:ascii="Calibri" w:hAnsi="Calibri"/>
                <w:b w:val="0"/>
                <w:i w:val="0"/>
                <w:color w:val="243B53"/>
                <w:sz w:val="18"/>
              </w:rPr>
              <w:t>Cached view appears stale</w:t>
            </w:r>
          </w:p>
        </w:tc>
        <w:tc>
          <w:tcPr>
            <w:tcW w:type="dxa" w:w="4100"/>
            <w:tcMar>
              <w:top w:w="80" w:type="dxa"/>
              <w:start w:w="120" w:type="dxa"/>
              <w:bottom w:w="80" w:type="dxa"/>
              <w:end w:w="120" w:type="dxa"/>
            </w:tcMar>
            <w:vAlign w:val="center"/>
          </w:tcPr>
          <w:p>
            <w:pPr>
              <w:spacing w:after="0" w:line="264" w:lineRule="auto"/>
            </w:pPr>
            <w:r>
              <w:rPr>
                <w:rFonts w:ascii="Calibri" w:hAnsi="Calibri"/>
                <w:b w:val="0"/>
                <w:i w:val="0"/>
                <w:color w:val="243B53"/>
                <w:sz w:val="18"/>
              </w:rPr>
              <w:t>Existing values remain until cache expiry or refresh.</w:t>
            </w:r>
          </w:p>
        </w:tc>
        <w:tc>
          <w:tcPr>
            <w:tcW w:type="dxa" w:w="2860"/>
            <w:tcMar>
              <w:top w:w="80" w:type="dxa"/>
              <w:start w:w="120" w:type="dxa"/>
              <w:bottom w:w="80" w:type="dxa"/>
              <w:end w:w="120" w:type="dxa"/>
            </w:tcMar>
            <w:vAlign w:val="center"/>
          </w:tcPr>
          <w:p>
            <w:pPr>
              <w:spacing w:after="0" w:line="264" w:lineRule="auto"/>
            </w:pPr>
            <w:r>
              <w:rPr>
                <w:rFonts w:ascii="Calibri" w:hAnsi="Calibri"/>
                <w:b w:val="0"/>
                <w:i w:val="0"/>
                <w:color w:val="243B53"/>
                <w:sz w:val="18"/>
              </w:rPr>
              <w:t>Select Refresh case data.</w:t>
            </w:r>
          </w:p>
        </w:tc>
      </w:tr>
    </w:tbl>
    <w:p>
      <w:pPr>
        <w:spacing w:after="40"/>
      </w:pPr>
    </w:p>
    <w:p>
      <w:pPr>
        <w:pStyle w:val="Heading1"/>
        <w:keepNext/>
      </w:pPr>
      <w:r>
        <w:t>9. Security, governance, and responsible use</w:t>
      </w:r>
    </w:p>
    <w:p>
      <w:pPr>
        <w:numPr>
          <w:ilvl w:val="0"/>
          <w:numId w:val="10"/>
        </w:numPr>
        <w:spacing w:after="80" w:line="300" w:lineRule="auto"/>
      </w:pPr>
      <w:r>
        <w:rPr>
          <w:rFonts w:ascii="Calibri" w:hAnsi="Calibri"/>
          <w:b w:val="0"/>
          <w:i w:val="0"/>
          <w:color w:val="243B53"/>
          <w:sz w:val="22"/>
        </w:rPr>
        <w:t>Data stays within Snowflake for native execution; local development uses an explicit Snowflake connection.</w:t>
      </w:r>
    </w:p>
    <w:p>
      <w:pPr>
        <w:numPr>
          <w:ilvl w:val="0"/>
          <w:numId w:val="10"/>
        </w:numPr>
        <w:spacing w:after="80" w:line="300" w:lineRule="auto"/>
      </w:pPr>
      <w:r>
        <w:rPr>
          <w:rFonts w:ascii="Calibri" w:hAnsi="Calibri"/>
          <w:b w:val="0"/>
          <w:i w:val="0"/>
          <w:color w:val="243B53"/>
          <w:sz w:val="22"/>
        </w:rPr>
        <w:t>The procedure executes as caller, so reviewer writes remain subject to the caller's Snowflake privileges.</w:t>
      </w:r>
    </w:p>
    <w:p>
      <w:pPr>
        <w:numPr>
          <w:ilvl w:val="0"/>
          <w:numId w:val="10"/>
        </w:numPr>
        <w:spacing w:after="80" w:line="300" w:lineRule="auto"/>
      </w:pPr>
      <w:r>
        <w:rPr>
          <w:rFonts w:ascii="Calibri" w:hAnsi="Calibri"/>
          <w:b w:val="0"/>
          <w:i w:val="0"/>
          <w:color w:val="243B53"/>
          <w:sz w:val="22"/>
        </w:rPr>
        <w:t>The score and route are transparent SQL outputs with an explicit scoring version.</w:t>
      </w:r>
    </w:p>
    <w:p>
      <w:pPr>
        <w:numPr>
          <w:ilvl w:val="0"/>
          <w:numId w:val="10"/>
        </w:numPr>
        <w:spacing w:after="80" w:line="300" w:lineRule="auto"/>
      </w:pPr>
      <w:r>
        <w:rPr>
          <w:rFonts w:ascii="Calibri" w:hAnsi="Calibri"/>
          <w:b w:val="0"/>
          <w:i w:val="0"/>
          <w:color w:val="243B53"/>
          <w:sz w:val="22"/>
        </w:rPr>
        <w:t>The human acknowledgement prevents the UI from presenting an analytical recommendation as an automatic filing.</w:t>
      </w:r>
    </w:p>
    <w:p>
      <w:pPr>
        <w:numPr>
          <w:ilvl w:val="0"/>
          <w:numId w:val="10"/>
        </w:numPr>
        <w:spacing w:after="80" w:line="300" w:lineRule="auto"/>
      </w:pPr>
      <w:r>
        <w:rPr>
          <w:rFonts w:ascii="Calibri" w:hAnsi="Calibri"/>
          <w:b w:val="0"/>
          <w:i w:val="0"/>
          <w:color w:val="243B53"/>
          <w:sz w:val="22"/>
        </w:rPr>
        <w:t>Decision rationale and reviewer identity become part of the audit record.</w:t>
      </w:r>
    </w:p>
    <w:p>
      <w:pPr>
        <w:numPr>
          <w:ilvl w:val="0"/>
          <w:numId w:val="10"/>
        </w:numPr>
        <w:spacing w:after="80" w:line="300" w:lineRule="auto"/>
      </w:pPr>
      <w:r>
        <w:rPr>
          <w:rFonts w:ascii="Calibri" w:hAnsi="Calibri"/>
          <w:b w:val="0"/>
          <w:i w:val="0"/>
          <w:color w:val="243B53"/>
          <w:sz w:val="22"/>
        </w:rPr>
        <w:t>The demo credential helper stores only a Windows DPAPI-encrypted credential under the Git-ignored .snowflake directory; production should use organization-approved authentication and least privilege.</w:t>
      </w:r>
    </w:p>
    <w:p>
      <w:pPr>
        <w:numPr>
          <w:ilvl w:val="0"/>
          <w:numId w:val="10"/>
        </w:numPr>
        <w:spacing w:after="80" w:line="300" w:lineRule="auto"/>
      </w:pPr>
      <w:r>
        <w:rPr>
          <w:rFonts w:ascii="Calibri" w:hAnsi="Calibri"/>
          <w:b w:val="0"/>
          <w:i w:val="0"/>
          <w:color w:val="243B53"/>
          <w:sz w:val="22"/>
        </w:rPr>
        <w:t>Synthetic data must remain clearly labeled and separated from production AML information.</w:t>
      </w:r>
    </w:p>
    <w:p>
      <w:pPr>
        <w:pStyle w:val="Heading1"/>
        <w:keepNext/>
      </w:pPr>
      <w:r>
        <w:t>10. Functional acceptance criteria</w:t>
      </w:r>
    </w:p>
    <w:tbl>
      <w:tblPr>
        <w:tblW w:type="dxa" w:w="9360"/>
        <w:tblLayout w:type="fixed"/>
        <w:tblLook w:firstColumn="1" w:firstRow="1" w:lastColumn="0" w:lastRow="0" w:noHBand="0" w:noVBand="1" w:val="04A0"/>
        <w:jc w:val="left"/>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1000"/>
        <w:gridCol w:w="4700"/>
        <w:gridCol w:w="3660"/>
      </w:tblGrid>
      <w:tr>
        <w:trPr>
          <w:tblHeader w:val="true"/>
        </w:trPr>
        <w:tc>
          <w:tcPr>
            <w:tcW w:type="dxa" w:w="1000"/>
            <w:tcMar>
              <w:top w:w="80" w:type="dxa"/>
              <w:start w:w="120" w:type="dxa"/>
              <w:bottom w:w="80" w:type="dxa"/>
              <w:end w:w="120" w:type="dxa"/>
            </w:tcMar>
            <w:vAlign w:val="center"/>
            <w:shd w:fill="E8EEF5"/>
          </w:tcPr>
          <w:p>
            <w:pPr>
              <w:spacing w:after="0"/>
            </w:pPr>
            <w:r>
              <w:rPr>
                <w:rFonts w:ascii="Calibri" w:hAnsi="Calibri"/>
                <w:b/>
                <w:i w:val="0"/>
                <w:color w:val="102A43"/>
                <w:sz w:val="19"/>
              </w:rPr>
              <w:t>ID</w:t>
            </w:r>
          </w:p>
        </w:tc>
        <w:tc>
          <w:tcPr>
            <w:tcW w:type="dxa" w:w="4700"/>
            <w:tcMar>
              <w:top w:w="80" w:type="dxa"/>
              <w:start w:w="120" w:type="dxa"/>
              <w:bottom w:w="80" w:type="dxa"/>
              <w:end w:w="120" w:type="dxa"/>
            </w:tcMar>
            <w:vAlign w:val="center"/>
            <w:shd w:fill="E8EEF5"/>
          </w:tcPr>
          <w:p>
            <w:pPr>
              <w:spacing w:after="0"/>
            </w:pPr>
            <w:r>
              <w:rPr>
                <w:rFonts w:ascii="Calibri" w:hAnsi="Calibri"/>
                <w:b/>
                <w:i w:val="0"/>
                <w:color w:val="102A43"/>
                <w:sz w:val="19"/>
              </w:rPr>
              <w:t>Criterion</w:t>
            </w:r>
          </w:p>
        </w:tc>
        <w:tc>
          <w:tcPr>
            <w:tcW w:type="dxa" w:w="3660"/>
            <w:tcMar>
              <w:top w:w="80" w:type="dxa"/>
              <w:start w:w="120" w:type="dxa"/>
              <w:bottom w:w="80" w:type="dxa"/>
              <w:end w:w="120" w:type="dxa"/>
            </w:tcMar>
            <w:vAlign w:val="center"/>
            <w:shd w:fill="E8EEF5"/>
          </w:tcPr>
          <w:p>
            <w:pPr>
              <w:spacing w:after="0"/>
            </w:pPr>
            <w:r>
              <w:rPr>
                <w:rFonts w:ascii="Calibri" w:hAnsi="Calibri"/>
                <w:b/>
                <w:i w:val="0"/>
                <w:color w:val="102A43"/>
                <w:sz w:val="19"/>
              </w:rPr>
              <w:t>Expected evidence</w:t>
            </w:r>
          </w:p>
        </w:tc>
      </w:tr>
      <w:tr>
        <w:tc>
          <w:tcPr>
            <w:tcW w:type="dxa" w:w="1000"/>
            <w:tcMar>
              <w:top w:w="80" w:type="dxa"/>
              <w:start w:w="120" w:type="dxa"/>
              <w:bottom w:w="80" w:type="dxa"/>
              <w:end w:w="120" w:type="dxa"/>
            </w:tcMar>
            <w:vAlign w:val="center"/>
          </w:tcPr>
          <w:p>
            <w:pPr>
              <w:spacing w:after="0" w:line="264" w:lineRule="auto"/>
            </w:pPr>
            <w:r>
              <w:rPr>
                <w:rFonts w:ascii="Calibri" w:hAnsi="Calibri"/>
                <w:b w:val="0"/>
                <w:i w:val="0"/>
                <w:color w:val="243B53"/>
                <w:sz w:val="18"/>
              </w:rPr>
              <w:t>FA-01</w:t>
            </w:r>
          </w:p>
        </w:tc>
        <w:tc>
          <w:tcPr>
            <w:tcW w:type="dxa" w:w="4700"/>
            <w:tcMar>
              <w:top w:w="80" w:type="dxa"/>
              <w:start w:w="120" w:type="dxa"/>
              <w:bottom w:w="80" w:type="dxa"/>
              <w:end w:w="120" w:type="dxa"/>
            </w:tcMar>
            <w:vAlign w:val="center"/>
          </w:tcPr>
          <w:p>
            <w:pPr>
              <w:spacing w:after="0" w:line="264" w:lineRule="auto"/>
            </w:pPr>
            <w:r>
              <w:rPr>
                <w:rFonts w:ascii="Calibri" w:hAnsi="Calibri"/>
                <w:b w:val="0"/>
                <w:i w:val="0"/>
                <w:color w:val="243B53"/>
                <w:sz w:val="18"/>
              </w:rPr>
              <w:t>App loads CASE-C003 from Snowflake without a connection error.</w:t>
            </w:r>
          </w:p>
        </w:tc>
        <w:tc>
          <w:tcPr>
            <w:tcW w:type="dxa" w:w="3660"/>
            <w:tcMar>
              <w:top w:w="80" w:type="dxa"/>
              <w:start w:w="120" w:type="dxa"/>
              <w:bottom w:w="80" w:type="dxa"/>
              <w:end w:w="120" w:type="dxa"/>
            </w:tcMar>
            <w:vAlign w:val="center"/>
          </w:tcPr>
          <w:p>
            <w:pPr>
              <w:spacing w:after="0" w:line="264" w:lineRule="auto"/>
            </w:pPr>
            <w:r>
              <w:rPr>
                <w:rFonts w:ascii="Calibri" w:hAnsi="Calibri"/>
                <w:b w:val="0"/>
                <w:i w:val="0"/>
                <w:color w:val="243B53"/>
                <w:sz w:val="18"/>
              </w:rPr>
              <w:t>Overview renders case and risk data.</w:t>
            </w:r>
          </w:p>
        </w:tc>
      </w:tr>
      <w:tr>
        <w:tc>
          <w:tcPr>
            <w:tcW w:type="dxa" w:w="1000"/>
            <w:tcMar>
              <w:top w:w="80" w:type="dxa"/>
              <w:start w:w="120" w:type="dxa"/>
              <w:bottom w:w="80" w:type="dxa"/>
              <w:end w:w="120" w:type="dxa"/>
            </w:tcMar>
            <w:vAlign w:val="center"/>
          </w:tcPr>
          <w:p>
            <w:pPr>
              <w:spacing w:after="0" w:line="264" w:lineRule="auto"/>
            </w:pPr>
            <w:r>
              <w:rPr>
                <w:rFonts w:ascii="Calibri" w:hAnsi="Calibri"/>
                <w:b w:val="0"/>
                <w:i w:val="0"/>
                <w:color w:val="243B53"/>
                <w:sz w:val="18"/>
              </w:rPr>
              <w:t>FA-02</w:t>
            </w:r>
          </w:p>
        </w:tc>
        <w:tc>
          <w:tcPr>
            <w:tcW w:type="dxa" w:w="4700"/>
            <w:tcMar>
              <w:top w:w="80" w:type="dxa"/>
              <w:start w:w="120" w:type="dxa"/>
              <w:bottom w:w="80" w:type="dxa"/>
              <w:end w:w="120" w:type="dxa"/>
            </w:tcMar>
            <w:vAlign w:val="center"/>
          </w:tcPr>
          <w:p>
            <w:pPr>
              <w:spacing w:after="0" w:line="264" w:lineRule="auto"/>
            </w:pPr>
            <w:r>
              <w:rPr>
                <w:rFonts w:ascii="Calibri" w:hAnsi="Calibri"/>
                <w:b w:val="0"/>
                <w:i w:val="0"/>
                <w:color w:val="243B53"/>
                <w:sz w:val="18"/>
              </w:rPr>
              <w:t>CASE-C003 shows 92, CRITICAL, STRONG, and Escalate to SAR.</w:t>
            </w:r>
          </w:p>
        </w:tc>
        <w:tc>
          <w:tcPr>
            <w:tcW w:type="dxa" w:w="3660"/>
            <w:tcMar>
              <w:top w:w="80" w:type="dxa"/>
              <w:start w:w="120" w:type="dxa"/>
              <w:bottom w:w="80" w:type="dxa"/>
              <w:end w:w="120" w:type="dxa"/>
            </w:tcMar>
            <w:vAlign w:val="center"/>
          </w:tcPr>
          <w:p>
            <w:pPr>
              <w:spacing w:after="0" w:line="264" w:lineRule="auto"/>
            </w:pPr>
            <w:r>
              <w:rPr>
                <w:rFonts w:ascii="Calibri" w:hAnsi="Calibri"/>
                <w:b w:val="0"/>
                <w:i w:val="0"/>
                <w:color w:val="243B53"/>
                <w:sz w:val="18"/>
              </w:rPr>
              <w:t>Four values reconcile to vw_case_risk_summary.</w:t>
            </w:r>
          </w:p>
        </w:tc>
      </w:tr>
      <w:tr>
        <w:tc>
          <w:tcPr>
            <w:tcW w:type="dxa" w:w="1000"/>
            <w:tcMar>
              <w:top w:w="80" w:type="dxa"/>
              <w:start w:w="120" w:type="dxa"/>
              <w:bottom w:w="80" w:type="dxa"/>
              <w:end w:w="120" w:type="dxa"/>
            </w:tcMar>
            <w:vAlign w:val="center"/>
          </w:tcPr>
          <w:p>
            <w:pPr>
              <w:spacing w:after="0" w:line="264" w:lineRule="auto"/>
            </w:pPr>
            <w:r>
              <w:rPr>
                <w:rFonts w:ascii="Calibri" w:hAnsi="Calibri"/>
                <w:b w:val="0"/>
                <w:i w:val="0"/>
                <w:color w:val="243B53"/>
                <w:sz w:val="18"/>
              </w:rPr>
              <w:t>FA-03</w:t>
            </w:r>
          </w:p>
        </w:tc>
        <w:tc>
          <w:tcPr>
            <w:tcW w:type="dxa" w:w="4700"/>
            <w:tcMar>
              <w:top w:w="80" w:type="dxa"/>
              <w:start w:w="120" w:type="dxa"/>
              <w:bottom w:w="80" w:type="dxa"/>
              <w:end w:w="120" w:type="dxa"/>
            </w:tcMar>
            <w:vAlign w:val="center"/>
          </w:tcPr>
          <w:p>
            <w:pPr>
              <w:spacing w:after="0" w:line="264" w:lineRule="auto"/>
            </w:pPr>
            <w:r>
              <w:rPr>
                <w:rFonts w:ascii="Calibri" w:hAnsi="Calibri"/>
                <w:b w:val="0"/>
                <w:i w:val="0"/>
                <w:color w:val="243B53"/>
                <w:sz w:val="18"/>
              </w:rPr>
              <w:t>All five typology signals are detected.</w:t>
            </w:r>
          </w:p>
        </w:tc>
        <w:tc>
          <w:tcPr>
            <w:tcW w:type="dxa" w:w="3660"/>
            <w:tcMar>
              <w:top w:w="80" w:type="dxa"/>
              <w:start w:w="120" w:type="dxa"/>
              <w:bottom w:w="80" w:type="dxa"/>
              <w:end w:w="120" w:type="dxa"/>
            </w:tcMar>
            <w:vAlign w:val="center"/>
          </w:tcPr>
          <w:p>
            <w:pPr>
              <w:spacing w:after="0" w:line="264" w:lineRule="auto"/>
            </w:pPr>
            <w:r>
              <w:rPr>
                <w:rFonts w:ascii="Calibri" w:hAnsi="Calibri"/>
                <w:b w:val="0"/>
                <w:i w:val="0"/>
                <w:color w:val="243B53"/>
                <w:sz w:val="18"/>
              </w:rPr>
              <w:t>Five detected rows with total typology contribution of 84.</w:t>
            </w:r>
          </w:p>
        </w:tc>
      </w:tr>
      <w:tr>
        <w:tc>
          <w:tcPr>
            <w:tcW w:type="dxa" w:w="1000"/>
            <w:tcMar>
              <w:top w:w="80" w:type="dxa"/>
              <w:start w:w="120" w:type="dxa"/>
              <w:bottom w:w="80" w:type="dxa"/>
              <w:end w:w="120" w:type="dxa"/>
            </w:tcMar>
            <w:vAlign w:val="center"/>
          </w:tcPr>
          <w:p>
            <w:pPr>
              <w:spacing w:after="0" w:line="264" w:lineRule="auto"/>
            </w:pPr>
            <w:r>
              <w:rPr>
                <w:rFonts w:ascii="Calibri" w:hAnsi="Calibri"/>
                <w:b w:val="0"/>
                <w:i w:val="0"/>
                <w:color w:val="243B53"/>
                <w:sz w:val="18"/>
              </w:rPr>
              <w:t>FA-04</w:t>
            </w:r>
          </w:p>
        </w:tc>
        <w:tc>
          <w:tcPr>
            <w:tcW w:type="dxa" w:w="4700"/>
            <w:tcMar>
              <w:top w:w="80" w:type="dxa"/>
              <w:start w:w="120" w:type="dxa"/>
              <w:bottom w:w="80" w:type="dxa"/>
              <w:end w:w="120" w:type="dxa"/>
            </w:tcMar>
            <w:vAlign w:val="center"/>
          </w:tcPr>
          <w:p>
            <w:pPr>
              <w:spacing w:after="0" w:line="264" w:lineRule="auto"/>
            </w:pPr>
            <w:r>
              <w:rPr>
                <w:rFonts w:ascii="Calibri" w:hAnsi="Calibri"/>
                <w:b w:val="0"/>
                <w:i w:val="0"/>
                <w:color w:val="243B53"/>
                <w:sz w:val="18"/>
              </w:rPr>
              <w:t>Network shows employer, workers, controller, funnel, and cash-out.</w:t>
            </w:r>
          </w:p>
        </w:tc>
        <w:tc>
          <w:tcPr>
            <w:tcW w:type="dxa" w:w="3660"/>
            <w:tcMar>
              <w:top w:w="80" w:type="dxa"/>
              <w:start w:w="120" w:type="dxa"/>
              <w:bottom w:w="80" w:type="dxa"/>
              <w:end w:w="120" w:type="dxa"/>
            </w:tcMar>
            <w:vAlign w:val="center"/>
          </w:tcPr>
          <w:p>
            <w:pPr>
              <w:spacing w:after="0" w:line="264" w:lineRule="auto"/>
            </w:pPr>
            <w:r>
              <w:rPr>
                <w:rFonts w:ascii="Calibri" w:hAnsi="Calibri"/>
                <w:b w:val="0"/>
                <w:i w:val="0"/>
                <w:color w:val="243B53"/>
                <w:sz w:val="18"/>
              </w:rPr>
              <w:t>Graph and edge table render without missing context.</w:t>
            </w:r>
          </w:p>
        </w:tc>
      </w:tr>
      <w:tr>
        <w:tc>
          <w:tcPr>
            <w:tcW w:type="dxa" w:w="1000"/>
            <w:tcMar>
              <w:top w:w="80" w:type="dxa"/>
              <w:start w:w="120" w:type="dxa"/>
              <w:bottom w:w="80" w:type="dxa"/>
              <w:end w:w="120" w:type="dxa"/>
            </w:tcMar>
            <w:vAlign w:val="center"/>
          </w:tcPr>
          <w:p>
            <w:pPr>
              <w:spacing w:after="0" w:line="264" w:lineRule="auto"/>
            </w:pPr>
            <w:r>
              <w:rPr>
                <w:rFonts w:ascii="Calibri" w:hAnsi="Calibri"/>
                <w:b w:val="0"/>
                <w:i w:val="0"/>
                <w:color w:val="243B53"/>
                <w:sz w:val="18"/>
              </w:rPr>
              <w:t>FA-05</w:t>
            </w:r>
          </w:p>
        </w:tc>
        <w:tc>
          <w:tcPr>
            <w:tcW w:type="dxa" w:w="4700"/>
            <w:tcMar>
              <w:top w:w="80" w:type="dxa"/>
              <w:start w:w="120" w:type="dxa"/>
              <w:bottom w:w="80" w:type="dxa"/>
              <w:end w:w="120" w:type="dxa"/>
            </w:tcMar>
            <w:vAlign w:val="center"/>
          </w:tcPr>
          <w:p>
            <w:pPr>
              <w:spacing w:after="0" w:line="264" w:lineRule="auto"/>
            </w:pPr>
            <w:r>
              <w:rPr>
                <w:rFonts w:ascii="Calibri" w:hAnsi="Calibri"/>
                <w:b w:val="0"/>
                <w:i w:val="0"/>
                <w:color w:val="243B53"/>
                <w:sz w:val="18"/>
              </w:rPr>
              <w:t>Documents, intelligence, and transactions load.</w:t>
            </w:r>
          </w:p>
        </w:tc>
        <w:tc>
          <w:tcPr>
            <w:tcW w:type="dxa" w:w="3660"/>
            <w:tcMar>
              <w:top w:w="80" w:type="dxa"/>
              <w:start w:w="120" w:type="dxa"/>
              <w:bottom w:w="80" w:type="dxa"/>
              <w:end w:w="120" w:type="dxa"/>
            </w:tcMar>
            <w:vAlign w:val="center"/>
          </w:tcPr>
          <w:p>
            <w:pPr>
              <w:spacing w:after="0" w:line="264" w:lineRule="auto"/>
            </w:pPr>
            <w:r>
              <w:rPr>
                <w:rFonts w:ascii="Calibri" w:hAnsi="Calibri"/>
                <w:b w:val="0"/>
                <w:i w:val="0"/>
                <w:color w:val="243B53"/>
                <w:sz w:val="18"/>
              </w:rPr>
              <w:t>Each Evidence subtab returns relevant rows.</w:t>
            </w:r>
          </w:p>
        </w:tc>
      </w:tr>
      <w:tr>
        <w:tc>
          <w:tcPr>
            <w:tcW w:type="dxa" w:w="1000"/>
            <w:tcMar>
              <w:top w:w="80" w:type="dxa"/>
              <w:start w:w="120" w:type="dxa"/>
              <w:bottom w:w="80" w:type="dxa"/>
              <w:end w:w="120" w:type="dxa"/>
            </w:tcMar>
            <w:vAlign w:val="center"/>
          </w:tcPr>
          <w:p>
            <w:pPr>
              <w:spacing w:after="0" w:line="264" w:lineRule="auto"/>
            </w:pPr>
            <w:r>
              <w:rPr>
                <w:rFonts w:ascii="Calibri" w:hAnsi="Calibri"/>
                <w:b w:val="0"/>
                <w:i w:val="0"/>
                <w:color w:val="243B53"/>
                <w:sz w:val="18"/>
              </w:rPr>
              <w:t>FA-06</w:t>
            </w:r>
          </w:p>
        </w:tc>
        <w:tc>
          <w:tcPr>
            <w:tcW w:type="dxa" w:w="4700"/>
            <w:tcMar>
              <w:top w:w="80" w:type="dxa"/>
              <w:start w:w="120" w:type="dxa"/>
              <w:bottom w:w="80" w:type="dxa"/>
              <w:end w:w="120" w:type="dxa"/>
            </w:tcMar>
            <w:vAlign w:val="center"/>
          </w:tcPr>
          <w:p>
            <w:pPr>
              <w:spacing w:after="0" w:line="264" w:lineRule="auto"/>
            </w:pPr>
            <w:r>
              <w:rPr>
                <w:rFonts w:ascii="Calibri" w:hAnsi="Calibri"/>
                <w:b w:val="0"/>
                <w:i w:val="0"/>
                <w:color w:val="243B53"/>
                <w:sz w:val="18"/>
              </w:rPr>
              <w:t>Seven score components reconcile to 92.</w:t>
            </w:r>
          </w:p>
        </w:tc>
        <w:tc>
          <w:tcPr>
            <w:tcW w:type="dxa" w:w="3660"/>
            <w:tcMar>
              <w:top w:w="80" w:type="dxa"/>
              <w:start w:w="120" w:type="dxa"/>
              <w:bottom w:w="80" w:type="dxa"/>
              <w:end w:w="120" w:type="dxa"/>
            </w:tcMar>
            <w:vAlign w:val="center"/>
          </w:tcPr>
          <w:p>
            <w:pPr>
              <w:spacing w:after="0" w:line="264" w:lineRule="auto"/>
            </w:pPr>
            <w:r>
              <w:rPr>
                <w:rFonts w:ascii="Calibri" w:hAnsi="Calibri"/>
                <w:b w:val="0"/>
                <w:i w:val="0"/>
                <w:color w:val="243B53"/>
                <w:sz w:val="18"/>
              </w:rPr>
              <w:t>25 + 25 + 14 + 12 + 8 + 4 + 4 = 92.</w:t>
            </w:r>
          </w:p>
        </w:tc>
      </w:tr>
      <w:tr>
        <w:tc>
          <w:tcPr>
            <w:tcW w:type="dxa" w:w="1000"/>
            <w:tcMar>
              <w:top w:w="80" w:type="dxa"/>
              <w:start w:w="120" w:type="dxa"/>
              <w:bottom w:w="80" w:type="dxa"/>
              <w:end w:w="120" w:type="dxa"/>
            </w:tcMar>
            <w:vAlign w:val="center"/>
          </w:tcPr>
          <w:p>
            <w:pPr>
              <w:spacing w:after="0" w:line="264" w:lineRule="auto"/>
            </w:pPr>
            <w:r>
              <w:rPr>
                <w:rFonts w:ascii="Calibri" w:hAnsi="Calibri"/>
                <w:b w:val="0"/>
                <w:i w:val="0"/>
                <w:color w:val="243B53"/>
                <w:sz w:val="18"/>
              </w:rPr>
              <w:t>FA-07</w:t>
            </w:r>
          </w:p>
        </w:tc>
        <w:tc>
          <w:tcPr>
            <w:tcW w:type="dxa" w:w="4700"/>
            <w:tcMar>
              <w:top w:w="80" w:type="dxa"/>
              <w:start w:w="120" w:type="dxa"/>
              <w:bottom w:w="80" w:type="dxa"/>
              <w:end w:w="120" w:type="dxa"/>
            </w:tcMar>
            <w:vAlign w:val="center"/>
          </w:tcPr>
          <w:p>
            <w:pPr>
              <w:spacing w:after="0" w:line="264" w:lineRule="auto"/>
            </w:pPr>
            <w:r>
              <w:rPr>
                <w:rFonts w:ascii="Calibri" w:hAnsi="Calibri"/>
                <w:b w:val="0"/>
                <w:i w:val="0"/>
                <w:color w:val="243B53"/>
                <w:sz w:val="18"/>
              </w:rPr>
              <w:t>Brief presents all five narrative sections and prompt.</w:t>
            </w:r>
          </w:p>
        </w:tc>
        <w:tc>
          <w:tcPr>
            <w:tcW w:type="dxa" w:w="3660"/>
            <w:tcMar>
              <w:top w:w="80" w:type="dxa"/>
              <w:start w:w="120" w:type="dxa"/>
              <w:bottom w:w="80" w:type="dxa"/>
              <w:end w:w="120" w:type="dxa"/>
            </w:tcMar>
            <w:vAlign w:val="center"/>
          </w:tcPr>
          <w:p>
            <w:pPr>
              <w:spacing w:after="0" w:line="264" w:lineRule="auto"/>
            </w:pPr>
            <w:r>
              <w:rPr>
                <w:rFonts w:ascii="Calibri" w:hAnsi="Calibri"/>
                <w:b w:val="0"/>
                <w:i w:val="0"/>
                <w:color w:val="243B53"/>
                <w:sz w:val="18"/>
              </w:rPr>
              <w:t>No unsupported or autonomous filing claim appears.</w:t>
            </w:r>
          </w:p>
        </w:tc>
      </w:tr>
      <w:tr>
        <w:tc>
          <w:tcPr>
            <w:tcW w:type="dxa" w:w="1000"/>
            <w:tcMar>
              <w:top w:w="80" w:type="dxa"/>
              <w:start w:w="120" w:type="dxa"/>
              <w:bottom w:w="80" w:type="dxa"/>
              <w:end w:w="120" w:type="dxa"/>
            </w:tcMar>
            <w:vAlign w:val="center"/>
          </w:tcPr>
          <w:p>
            <w:pPr>
              <w:spacing w:after="0" w:line="264" w:lineRule="auto"/>
            </w:pPr>
            <w:r>
              <w:rPr>
                <w:rFonts w:ascii="Calibri" w:hAnsi="Calibri"/>
                <w:b w:val="0"/>
                <w:i w:val="0"/>
                <w:color w:val="243B53"/>
                <w:sz w:val="18"/>
              </w:rPr>
              <w:t>FA-08</w:t>
            </w:r>
          </w:p>
        </w:tc>
        <w:tc>
          <w:tcPr>
            <w:tcW w:type="dxa" w:w="4700"/>
            <w:tcMar>
              <w:top w:w="80" w:type="dxa"/>
              <w:start w:w="120" w:type="dxa"/>
              <w:bottom w:w="80" w:type="dxa"/>
              <w:end w:w="120" w:type="dxa"/>
            </w:tcMar>
            <w:vAlign w:val="center"/>
          </w:tcPr>
          <w:p>
            <w:pPr>
              <w:spacing w:after="0" w:line="264" w:lineRule="auto"/>
            </w:pPr>
            <w:r>
              <w:rPr>
                <w:rFonts w:ascii="Calibri" w:hAnsi="Calibri"/>
                <w:b w:val="0"/>
                <w:i w:val="0"/>
                <w:color w:val="243B53"/>
                <w:sz w:val="18"/>
              </w:rPr>
              <w:t>Reviewer decision enforces required inputs.</w:t>
            </w:r>
          </w:p>
        </w:tc>
        <w:tc>
          <w:tcPr>
            <w:tcW w:type="dxa" w:w="3660"/>
            <w:tcMar>
              <w:top w:w="80" w:type="dxa"/>
              <w:start w:w="120" w:type="dxa"/>
              <w:bottom w:w="80" w:type="dxa"/>
              <w:end w:w="120" w:type="dxa"/>
            </w:tcMar>
            <w:vAlign w:val="center"/>
          </w:tcPr>
          <w:p>
            <w:pPr>
              <w:spacing w:after="0" w:line="264" w:lineRule="auto"/>
            </w:pPr>
            <w:r>
              <w:rPr>
                <w:rFonts w:ascii="Calibri" w:hAnsi="Calibri"/>
                <w:b w:val="0"/>
                <w:i w:val="0"/>
                <w:color w:val="243B53"/>
                <w:sz w:val="18"/>
              </w:rPr>
              <w:t>Submission is blocked until reviewer, rationale, and acknowledgement exist.</w:t>
            </w:r>
          </w:p>
        </w:tc>
      </w:tr>
      <w:tr>
        <w:tc>
          <w:tcPr>
            <w:tcW w:type="dxa" w:w="1000"/>
            <w:tcMar>
              <w:top w:w="80" w:type="dxa"/>
              <w:start w:w="120" w:type="dxa"/>
              <w:bottom w:w="80" w:type="dxa"/>
              <w:end w:w="120" w:type="dxa"/>
            </w:tcMar>
            <w:vAlign w:val="center"/>
          </w:tcPr>
          <w:p>
            <w:pPr>
              <w:spacing w:after="0" w:line="264" w:lineRule="auto"/>
            </w:pPr>
            <w:r>
              <w:rPr>
                <w:rFonts w:ascii="Calibri" w:hAnsi="Calibri"/>
                <w:b w:val="0"/>
                <w:i w:val="0"/>
                <w:color w:val="243B53"/>
                <w:sz w:val="18"/>
              </w:rPr>
              <w:t>FA-09</w:t>
            </w:r>
          </w:p>
        </w:tc>
        <w:tc>
          <w:tcPr>
            <w:tcW w:type="dxa" w:w="4700"/>
            <w:tcMar>
              <w:top w:w="80" w:type="dxa"/>
              <w:start w:w="120" w:type="dxa"/>
              <w:bottom w:w="80" w:type="dxa"/>
              <w:end w:w="120" w:type="dxa"/>
            </w:tcMar>
            <w:vAlign w:val="center"/>
          </w:tcPr>
          <w:p>
            <w:pPr>
              <w:spacing w:after="0" w:line="264" w:lineRule="auto"/>
            </w:pPr>
            <w:r>
              <w:rPr>
                <w:rFonts w:ascii="Calibri" w:hAnsi="Calibri"/>
                <w:b w:val="0"/>
                <w:i w:val="0"/>
                <w:color w:val="243B53"/>
                <w:sz w:val="18"/>
              </w:rPr>
              <w:t>Escalate to SAR creates decision and audit rows.</w:t>
            </w:r>
          </w:p>
        </w:tc>
        <w:tc>
          <w:tcPr>
            <w:tcW w:type="dxa" w:w="3660"/>
            <w:tcMar>
              <w:top w:w="80" w:type="dxa"/>
              <w:start w:w="120" w:type="dxa"/>
              <w:bottom w:w="80" w:type="dxa"/>
              <w:end w:w="120" w:type="dxa"/>
            </w:tcMar>
            <w:vAlign w:val="center"/>
          </w:tcPr>
          <w:p>
            <w:pPr>
              <w:spacing w:after="0" w:line="264" w:lineRule="auto"/>
            </w:pPr>
            <w:r>
              <w:rPr>
                <w:rFonts w:ascii="Calibri" w:hAnsi="Calibri"/>
                <w:b w:val="0"/>
                <w:i w:val="0"/>
                <w:color w:val="243B53"/>
                <w:sz w:val="18"/>
              </w:rPr>
              <w:t>Returned decision ID links to REVIEWER_DECISION event.</w:t>
            </w:r>
          </w:p>
        </w:tc>
      </w:tr>
      <w:tr>
        <w:tc>
          <w:tcPr>
            <w:tcW w:type="dxa" w:w="1000"/>
            <w:tcMar>
              <w:top w:w="80" w:type="dxa"/>
              <w:start w:w="120" w:type="dxa"/>
              <w:bottom w:w="80" w:type="dxa"/>
              <w:end w:w="120" w:type="dxa"/>
            </w:tcMar>
            <w:vAlign w:val="center"/>
          </w:tcPr>
          <w:p>
            <w:pPr>
              <w:spacing w:after="0" w:line="264" w:lineRule="auto"/>
            </w:pPr>
            <w:r>
              <w:rPr>
                <w:rFonts w:ascii="Calibri" w:hAnsi="Calibri"/>
                <w:b w:val="0"/>
                <w:i w:val="0"/>
                <w:color w:val="243B53"/>
                <w:sz w:val="18"/>
              </w:rPr>
              <w:t>FA-10</w:t>
            </w:r>
          </w:p>
        </w:tc>
        <w:tc>
          <w:tcPr>
            <w:tcW w:type="dxa" w:w="4700"/>
            <w:tcMar>
              <w:top w:w="80" w:type="dxa"/>
              <w:start w:w="120" w:type="dxa"/>
              <w:bottom w:w="80" w:type="dxa"/>
              <w:end w:w="120" w:type="dxa"/>
            </w:tcMar>
            <w:vAlign w:val="center"/>
          </w:tcPr>
          <w:p>
            <w:pPr>
              <w:spacing w:after="0" w:line="264" w:lineRule="auto"/>
            </w:pPr>
            <w:r>
              <w:rPr>
                <w:rFonts w:ascii="Calibri" w:hAnsi="Calibri"/>
                <w:b w:val="0"/>
                <w:i w:val="0"/>
                <w:color w:val="243B53"/>
                <w:sz w:val="18"/>
              </w:rPr>
              <w:t>Audit trail can be downloaded.</w:t>
            </w:r>
          </w:p>
        </w:tc>
        <w:tc>
          <w:tcPr>
            <w:tcW w:type="dxa" w:w="3660"/>
            <w:tcMar>
              <w:top w:w="80" w:type="dxa"/>
              <w:start w:w="120" w:type="dxa"/>
              <w:bottom w:w="80" w:type="dxa"/>
              <w:end w:w="120" w:type="dxa"/>
            </w:tcMar>
            <w:vAlign w:val="center"/>
          </w:tcPr>
          <w:p>
            <w:pPr>
              <w:spacing w:after="0" w:line="264" w:lineRule="auto"/>
            </w:pPr>
            <w:r>
              <w:rPr>
                <w:rFonts w:ascii="Calibri" w:hAnsi="Calibri"/>
                <w:b w:val="0"/>
                <w:i w:val="0"/>
                <w:color w:val="243B53"/>
                <w:sz w:val="18"/>
              </w:rPr>
              <w:t>CSV contains visible events for selected case.</w:t>
            </w:r>
          </w:p>
        </w:tc>
      </w:tr>
      <w:tr>
        <w:tc>
          <w:tcPr>
            <w:tcW w:type="dxa" w:w="1000"/>
            <w:tcMar>
              <w:top w:w="80" w:type="dxa"/>
              <w:start w:w="120" w:type="dxa"/>
              <w:bottom w:w="80" w:type="dxa"/>
              <w:end w:w="120" w:type="dxa"/>
            </w:tcMar>
            <w:vAlign w:val="center"/>
          </w:tcPr>
          <w:p>
            <w:pPr>
              <w:spacing w:after="0" w:line="264" w:lineRule="auto"/>
            </w:pPr>
            <w:r>
              <w:rPr>
                <w:rFonts w:ascii="Calibri" w:hAnsi="Calibri"/>
                <w:b w:val="0"/>
                <w:i w:val="0"/>
                <w:color w:val="243B53"/>
                <w:sz w:val="18"/>
              </w:rPr>
              <w:t>FA-11</w:t>
            </w:r>
          </w:p>
        </w:tc>
        <w:tc>
          <w:tcPr>
            <w:tcW w:type="dxa" w:w="4700"/>
            <w:tcMar>
              <w:top w:w="80" w:type="dxa"/>
              <w:start w:w="120" w:type="dxa"/>
              <w:bottom w:w="80" w:type="dxa"/>
              <w:end w:w="120" w:type="dxa"/>
            </w:tcMar>
            <w:vAlign w:val="center"/>
          </w:tcPr>
          <w:p>
            <w:pPr>
              <w:spacing w:after="0" w:line="264" w:lineRule="auto"/>
            </w:pPr>
            <w:r>
              <w:rPr>
                <w:rFonts w:ascii="Calibri" w:hAnsi="Calibri"/>
                <w:b w:val="0"/>
                <w:i w:val="0"/>
                <w:color w:val="243B53"/>
                <w:sz w:val="18"/>
              </w:rPr>
              <w:t>Benign CASE-C010 remains LOW.</w:t>
            </w:r>
          </w:p>
        </w:tc>
        <w:tc>
          <w:tcPr>
            <w:tcW w:type="dxa" w:w="3660"/>
            <w:tcMar>
              <w:top w:w="80" w:type="dxa"/>
              <w:start w:w="120" w:type="dxa"/>
              <w:bottom w:w="80" w:type="dxa"/>
              <w:end w:w="120" w:type="dxa"/>
            </w:tcMar>
            <w:vAlign w:val="center"/>
          </w:tcPr>
          <w:p>
            <w:pPr>
              <w:spacing w:after="0" w:line="264" w:lineRule="auto"/>
            </w:pPr>
            <w:r>
              <w:rPr>
                <w:rFonts w:ascii="Calibri" w:hAnsi="Calibri"/>
                <w:b w:val="0"/>
                <w:i w:val="0"/>
                <w:color w:val="243B53"/>
                <w:sz w:val="18"/>
              </w:rPr>
              <w:t>Risk test returns PASS.</w:t>
            </w:r>
          </w:p>
        </w:tc>
      </w:tr>
      <w:tr>
        <w:tc>
          <w:tcPr>
            <w:tcW w:type="dxa" w:w="1000"/>
            <w:tcMar>
              <w:top w:w="80" w:type="dxa"/>
              <w:start w:w="120" w:type="dxa"/>
              <w:bottom w:w="80" w:type="dxa"/>
              <w:end w:w="120" w:type="dxa"/>
            </w:tcMar>
            <w:vAlign w:val="center"/>
          </w:tcPr>
          <w:p>
            <w:pPr>
              <w:spacing w:after="0" w:line="264" w:lineRule="auto"/>
            </w:pPr>
            <w:r>
              <w:rPr>
                <w:rFonts w:ascii="Calibri" w:hAnsi="Calibri"/>
                <w:b w:val="0"/>
                <w:i w:val="0"/>
                <w:color w:val="243B53"/>
                <w:sz w:val="18"/>
              </w:rPr>
              <w:t>FA-12</w:t>
            </w:r>
          </w:p>
        </w:tc>
        <w:tc>
          <w:tcPr>
            <w:tcW w:type="dxa" w:w="4700"/>
            <w:tcMar>
              <w:top w:w="80" w:type="dxa"/>
              <w:start w:w="120" w:type="dxa"/>
              <w:bottom w:w="80" w:type="dxa"/>
              <w:end w:w="120" w:type="dxa"/>
            </w:tcMar>
            <w:vAlign w:val="center"/>
          </w:tcPr>
          <w:p>
            <w:pPr>
              <w:spacing w:after="0" w:line="264" w:lineRule="auto"/>
            </w:pPr>
            <w:r>
              <w:rPr>
                <w:rFonts w:ascii="Calibri" w:hAnsi="Calibri"/>
                <w:b w:val="0"/>
                <w:i w:val="0"/>
                <w:color w:val="243B53"/>
                <w:sz w:val="18"/>
              </w:rPr>
              <w:t>Application stays consistently light.</w:t>
            </w:r>
          </w:p>
        </w:tc>
        <w:tc>
          <w:tcPr>
            <w:tcW w:type="dxa" w:w="3660"/>
            <w:tcMar>
              <w:top w:w="80" w:type="dxa"/>
              <w:start w:w="120" w:type="dxa"/>
              <w:bottom w:w="80" w:type="dxa"/>
              <w:end w:w="120" w:type="dxa"/>
            </w:tcMar>
            <w:vAlign w:val="center"/>
          </w:tcPr>
          <w:p>
            <w:pPr>
              <w:spacing w:after="0" w:line="264" w:lineRule="auto"/>
            </w:pPr>
            <w:r>
              <w:rPr>
                <w:rFonts w:ascii="Calibri" w:hAnsi="Calibri"/>
                <w:b w:val="0"/>
                <w:i w:val="0"/>
                <w:color w:val="243B53"/>
                <w:sz w:val="18"/>
              </w:rPr>
              <w:t>Theme applies to canvas, sidebar, tables, forms, tabs, charts, and alerts.</w:t>
            </w:r>
          </w:p>
        </w:tc>
      </w:tr>
    </w:tbl>
    <w:p>
      <w:pPr>
        <w:spacing w:after="40"/>
      </w:pPr>
    </w:p>
    <w:p>
      <w:pPr>
        <w:pStyle w:val="Heading1"/>
        <w:keepNext/>
      </w:pPr>
      <w:r>
        <w:t>11. Known limitations and production roadmap</w:t>
      </w:r>
    </w:p>
    <w:tbl>
      <w:tblPr>
        <w:tblW w:type="dxa" w:w="9360"/>
        <w:tblLayout w:type="fixed"/>
        <w:tblLook w:firstColumn="1" w:firstRow="1" w:lastColumn="0" w:lastRow="0" w:noHBand="0" w:noVBand="1" w:val="04A0"/>
        <w:jc w:val="left"/>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4100"/>
        <w:gridCol w:w="5260"/>
      </w:tblGrid>
      <w:tr>
        <w:trPr>
          <w:tblHeader w:val="true"/>
        </w:trPr>
        <w:tc>
          <w:tcPr>
            <w:tcW w:type="dxa" w:w="4100"/>
            <w:tcMar>
              <w:top w:w="80" w:type="dxa"/>
              <w:start w:w="120" w:type="dxa"/>
              <w:bottom w:w="80" w:type="dxa"/>
              <w:end w:w="120" w:type="dxa"/>
            </w:tcMar>
            <w:vAlign w:val="center"/>
            <w:shd w:fill="E8EEF5"/>
          </w:tcPr>
          <w:p>
            <w:pPr>
              <w:spacing w:after="0"/>
            </w:pPr>
            <w:r>
              <w:rPr>
                <w:rFonts w:ascii="Calibri" w:hAnsi="Calibri"/>
                <w:b/>
                <w:i w:val="0"/>
                <w:color w:val="102A43"/>
                <w:sz w:val="19"/>
              </w:rPr>
              <w:t>Prototype limitation</w:t>
            </w:r>
          </w:p>
        </w:tc>
        <w:tc>
          <w:tcPr>
            <w:tcW w:type="dxa" w:w="5260"/>
            <w:tcMar>
              <w:top w:w="80" w:type="dxa"/>
              <w:start w:w="120" w:type="dxa"/>
              <w:bottom w:w="80" w:type="dxa"/>
              <w:end w:w="120" w:type="dxa"/>
            </w:tcMar>
            <w:vAlign w:val="center"/>
            <w:shd w:fill="E8EEF5"/>
          </w:tcPr>
          <w:p>
            <w:pPr>
              <w:spacing w:after="0"/>
            </w:pPr>
            <w:r>
              <w:rPr>
                <w:rFonts w:ascii="Calibri" w:hAnsi="Calibri"/>
                <w:b/>
                <w:i w:val="0"/>
                <w:color w:val="102A43"/>
                <w:sz w:val="19"/>
              </w:rPr>
              <w:t>Production enhancement</w:t>
            </w:r>
          </w:p>
        </w:tc>
      </w:tr>
      <w:tr>
        <w:tc>
          <w:tcPr>
            <w:tcW w:type="dxa" w:w="4100"/>
            <w:tcMar>
              <w:top w:w="80" w:type="dxa"/>
              <w:start w:w="120" w:type="dxa"/>
              <w:bottom w:w="80" w:type="dxa"/>
              <w:end w:w="120" w:type="dxa"/>
            </w:tcMar>
            <w:vAlign w:val="center"/>
          </w:tcPr>
          <w:p>
            <w:pPr>
              <w:spacing w:after="0" w:line="264" w:lineRule="auto"/>
            </w:pPr>
            <w:r>
              <w:rPr>
                <w:rFonts w:ascii="Calibri" w:hAnsi="Calibri"/>
                <w:b w:val="0"/>
                <w:i w:val="0"/>
                <w:color w:val="243B53"/>
                <w:sz w:val="18"/>
              </w:rPr>
              <w:t>Synthetic cases and simplified typology thresholds</w:t>
            </w:r>
          </w:p>
        </w:tc>
        <w:tc>
          <w:tcPr>
            <w:tcW w:type="dxa" w:w="5260"/>
            <w:tcMar>
              <w:top w:w="80" w:type="dxa"/>
              <w:start w:w="120" w:type="dxa"/>
              <w:bottom w:w="80" w:type="dxa"/>
              <w:end w:w="120" w:type="dxa"/>
            </w:tcMar>
            <w:vAlign w:val="center"/>
          </w:tcPr>
          <w:p>
            <w:pPr>
              <w:spacing w:after="0" w:line="264" w:lineRule="auto"/>
            </w:pPr>
            <w:r>
              <w:rPr>
                <w:rFonts w:ascii="Calibri" w:hAnsi="Calibri"/>
                <w:b w:val="0"/>
                <w:i w:val="0"/>
                <w:color w:val="243B53"/>
                <w:sz w:val="18"/>
              </w:rPr>
              <w:t>Calibrate against validated historical cases, QA labels, and jurisdiction-specific policy.</w:t>
            </w:r>
          </w:p>
        </w:tc>
      </w:tr>
      <w:tr>
        <w:tc>
          <w:tcPr>
            <w:tcW w:type="dxa" w:w="4100"/>
            <w:tcMar>
              <w:top w:w="80" w:type="dxa"/>
              <w:start w:w="120" w:type="dxa"/>
              <w:bottom w:w="80" w:type="dxa"/>
              <w:end w:w="120" w:type="dxa"/>
            </w:tcMar>
            <w:vAlign w:val="center"/>
          </w:tcPr>
          <w:p>
            <w:pPr>
              <w:spacing w:after="0" w:line="264" w:lineRule="auto"/>
            </w:pPr>
            <w:r>
              <w:rPr>
                <w:rFonts w:ascii="Calibri" w:hAnsi="Calibri"/>
                <w:b w:val="0"/>
                <w:i w:val="0"/>
                <w:color w:val="243B53"/>
                <w:sz w:val="18"/>
              </w:rPr>
              <w:t>Static external-intelligence seed data</w:t>
            </w:r>
          </w:p>
        </w:tc>
        <w:tc>
          <w:tcPr>
            <w:tcW w:type="dxa" w:w="5260"/>
            <w:tcMar>
              <w:top w:w="80" w:type="dxa"/>
              <w:start w:w="120" w:type="dxa"/>
              <w:bottom w:w="80" w:type="dxa"/>
              <w:end w:w="120" w:type="dxa"/>
            </w:tcMar>
            <w:vAlign w:val="center"/>
          </w:tcPr>
          <w:p>
            <w:pPr>
              <w:spacing w:after="0" w:line="264" w:lineRule="auto"/>
            </w:pPr>
            <w:r>
              <w:rPr>
                <w:rFonts w:ascii="Calibri" w:hAnsi="Calibri"/>
                <w:b w:val="0"/>
                <w:i w:val="0"/>
                <w:color w:val="243B53"/>
                <w:sz w:val="18"/>
              </w:rPr>
              <w:t>Integrate licensed sanctions, PEP, adverse-media, and case-management feeds.</w:t>
            </w:r>
          </w:p>
        </w:tc>
      </w:tr>
      <w:tr>
        <w:tc>
          <w:tcPr>
            <w:tcW w:type="dxa" w:w="4100"/>
            <w:tcMar>
              <w:top w:w="80" w:type="dxa"/>
              <w:start w:w="120" w:type="dxa"/>
              <w:bottom w:w="80" w:type="dxa"/>
              <w:end w:w="120" w:type="dxa"/>
            </w:tcMar>
            <w:vAlign w:val="center"/>
          </w:tcPr>
          <w:p>
            <w:pPr>
              <w:spacing w:after="0" w:line="264" w:lineRule="auto"/>
            </w:pPr>
            <w:r>
              <w:rPr>
                <w:rFonts w:ascii="Calibri" w:hAnsi="Calibri"/>
                <w:b w:val="0"/>
                <w:i w:val="0"/>
                <w:color w:val="243B53"/>
                <w:sz w:val="18"/>
              </w:rPr>
              <w:t>No fine-grained application authorization model</w:t>
            </w:r>
          </w:p>
        </w:tc>
        <w:tc>
          <w:tcPr>
            <w:tcW w:type="dxa" w:w="5260"/>
            <w:tcMar>
              <w:top w:w="80" w:type="dxa"/>
              <w:start w:w="120" w:type="dxa"/>
              <w:bottom w:w="80" w:type="dxa"/>
              <w:end w:w="120" w:type="dxa"/>
            </w:tcMar>
            <w:vAlign w:val="center"/>
          </w:tcPr>
          <w:p>
            <w:pPr>
              <w:spacing w:after="0" w:line="264" w:lineRule="auto"/>
            </w:pPr>
            <w:r>
              <w:rPr>
                <w:rFonts w:ascii="Calibri" w:hAnsi="Calibri"/>
                <w:b w:val="0"/>
                <w:i w:val="0"/>
                <w:color w:val="243B53"/>
                <w:sz w:val="18"/>
              </w:rPr>
              <w:t>Implement least-privilege roles, row access policies, masking, and environment separation.</w:t>
            </w:r>
          </w:p>
        </w:tc>
      </w:tr>
      <w:tr>
        <w:tc>
          <w:tcPr>
            <w:tcW w:type="dxa" w:w="4100"/>
            <w:tcMar>
              <w:top w:w="80" w:type="dxa"/>
              <w:start w:w="120" w:type="dxa"/>
              <w:bottom w:w="80" w:type="dxa"/>
              <w:end w:w="120" w:type="dxa"/>
            </w:tcMar>
            <w:vAlign w:val="center"/>
          </w:tcPr>
          <w:p>
            <w:pPr>
              <w:spacing w:after="0" w:line="264" w:lineRule="auto"/>
            </w:pPr>
            <w:r>
              <w:rPr>
                <w:rFonts w:ascii="Calibri" w:hAnsi="Calibri"/>
                <w:b w:val="0"/>
                <w:i w:val="0"/>
                <w:color w:val="243B53"/>
                <w:sz w:val="18"/>
              </w:rPr>
              <w:t>No case assignment queue or SLA dashboard</w:t>
            </w:r>
          </w:p>
        </w:tc>
        <w:tc>
          <w:tcPr>
            <w:tcW w:type="dxa" w:w="5260"/>
            <w:tcMar>
              <w:top w:w="80" w:type="dxa"/>
              <w:start w:w="120" w:type="dxa"/>
              <w:bottom w:w="80" w:type="dxa"/>
              <w:end w:w="120" w:type="dxa"/>
            </w:tcMar>
            <w:vAlign w:val="center"/>
          </w:tcPr>
          <w:p>
            <w:pPr>
              <w:spacing w:after="0" w:line="264" w:lineRule="auto"/>
            </w:pPr>
            <w:r>
              <w:rPr>
                <w:rFonts w:ascii="Calibri" w:hAnsi="Calibri"/>
                <w:b w:val="0"/>
                <w:i w:val="0"/>
                <w:color w:val="243B53"/>
                <w:sz w:val="18"/>
              </w:rPr>
              <w:t>Add work allocation, aging, escalation, and quality-control workflow.</w:t>
            </w:r>
          </w:p>
        </w:tc>
      </w:tr>
      <w:tr>
        <w:tc>
          <w:tcPr>
            <w:tcW w:type="dxa" w:w="4100"/>
            <w:tcMar>
              <w:top w:w="80" w:type="dxa"/>
              <w:start w:w="120" w:type="dxa"/>
              <w:bottom w:w="80" w:type="dxa"/>
              <w:end w:w="120" w:type="dxa"/>
            </w:tcMar>
            <w:vAlign w:val="center"/>
          </w:tcPr>
          <w:p>
            <w:pPr>
              <w:spacing w:after="0" w:line="264" w:lineRule="auto"/>
            </w:pPr>
            <w:r>
              <w:rPr>
                <w:rFonts w:ascii="Calibri" w:hAnsi="Calibri"/>
                <w:b w:val="0"/>
                <w:i w:val="0"/>
                <w:color w:val="243B53"/>
                <w:sz w:val="18"/>
              </w:rPr>
              <w:t>Optional Cortex brief is not required for the core path</w:t>
            </w:r>
          </w:p>
        </w:tc>
        <w:tc>
          <w:tcPr>
            <w:tcW w:type="dxa" w:w="5260"/>
            <w:tcMar>
              <w:top w:w="80" w:type="dxa"/>
              <w:start w:w="120" w:type="dxa"/>
              <w:bottom w:w="80" w:type="dxa"/>
              <w:end w:w="120" w:type="dxa"/>
            </w:tcMar>
            <w:vAlign w:val="center"/>
          </w:tcPr>
          <w:p>
            <w:pPr>
              <w:spacing w:after="0" w:line="264" w:lineRule="auto"/>
            </w:pPr>
            <w:r>
              <w:rPr>
                <w:rFonts w:ascii="Calibri" w:hAnsi="Calibri"/>
                <w:b w:val="0"/>
                <w:i w:val="0"/>
                <w:color w:val="243B53"/>
                <w:sz w:val="18"/>
              </w:rPr>
              <w:t>Add governed model selection, prompt/version logging, evaluation, and output approval.</w:t>
            </w:r>
          </w:p>
        </w:tc>
      </w:tr>
      <w:tr>
        <w:tc>
          <w:tcPr>
            <w:tcW w:type="dxa" w:w="4100"/>
            <w:tcMar>
              <w:top w:w="80" w:type="dxa"/>
              <w:start w:w="120" w:type="dxa"/>
              <w:bottom w:w="80" w:type="dxa"/>
              <w:end w:w="120" w:type="dxa"/>
            </w:tcMar>
            <w:vAlign w:val="center"/>
          </w:tcPr>
          <w:p>
            <w:pPr>
              <w:spacing w:after="0" w:line="264" w:lineRule="auto"/>
            </w:pPr>
            <w:r>
              <w:rPr>
                <w:rFonts w:ascii="Calibri" w:hAnsi="Calibri"/>
                <w:b w:val="0"/>
                <w:i w:val="0"/>
                <w:color w:val="243B53"/>
                <w:sz w:val="18"/>
              </w:rPr>
              <w:t>Decision route does not file externally</w:t>
            </w:r>
          </w:p>
        </w:tc>
        <w:tc>
          <w:tcPr>
            <w:tcW w:type="dxa" w:w="5260"/>
            <w:tcMar>
              <w:top w:w="80" w:type="dxa"/>
              <w:start w:w="120" w:type="dxa"/>
              <w:bottom w:w="80" w:type="dxa"/>
              <w:end w:w="120" w:type="dxa"/>
            </w:tcMar>
            <w:vAlign w:val="center"/>
          </w:tcPr>
          <w:p>
            <w:pPr>
              <w:spacing w:after="0" w:line="264" w:lineRule="auto"/>
            </w:pPr>
            <w:r>
              <w:rPr>
                <w:rFonts w:ascii="Calibri" w:hAnsi="Calibri"/>
                <w:b w:val="0"/>
                <w:i w:val="0"/>
                <w:color w:val="243B53"/>
                <w:sz w:val="18"/>
              </w:rPr>
              <w:t>Integrate only with authorized SAR workflow after legal, control, and human-approval design.</w:t>
            </w:r>
          </w:p>
        </w:tc>
      </w:tr>
      <w:tr>
        <w:tc>
          <w:tcPr>
            <w:tcW w:type="dxa" w:w="4100"/>
            <w:tcMar>
              <w:top w:w="80" w:type="dxa"/>
              <w:start w:w="120" w:type="dxa"/>
              <w:bottom w:w="80" w:type="dxa"/>
              <w:end w:w="120" w:type="dxa"/>
            </w:tcMar>
            <w:vAlign w:val="center"/>
          </w:tcPr>
          <w:p>
            <w:pPr>
              <w:spacing w:after="0" w:line="264" w:lineRule="auto"/>
            </w:pPr>
            <w:r>
              <w:rPr>
                <w:rFonts w:ascii="Calibri" w:hAnsi="Calibri"/>
                <w:b w:val="0"/>
                <w:i w:val="0"/>
                <w:color w:val="243B53"/>
                <w:sz w:val="18"/>
              </w:rPr>
              <w:t>Limited automated UI tests</w:t>
            </w:r>
          </w:p>
        </w:tc>
        <w:tc>
          <w:tcPr>
            <w:tcW w:type="dxa" w:w="5260"/>
            <w:tcMar>
              <w:top w:w="80" w:type="dxa"/>
              <w:start w:w="120" w:type="dxa"/>
              <w:bottom w:w="80" w:type="dxa"/>
              <w:end w:w="120" w:type="dxa"/>
            </w:tcMar>
            <w:vAlign w:val="center"/>
          </w:tcPr>
          <w:p>
            <w:pPr>
              <w:spacing w:after="0" w:line="264" w:lineRule="auto"/>
            </w:pPr>
            <w:r>
              <w:rPr>
                <w:rFonts w:ascii="Calibri" w:hAnsi="Calibri"/>
                <w:b w:val="0"/>
                <w:i w:val="0"/>
                <w:color w:val="243B53"/>
                <w:sz w:val="18"/>
              </w:rPr>
              <w:t>Add regression tests for queries, components, permissions, and end-to-end reviewer actions.</w:t>
            </w:r>
          </w:p>
        </w:tc>
      </w:tr>
    </w:tbl>
    <w:p>
      <w:pPr>
        <w:spacing w:after="40"/>
      </w:pPr>
    </w:p>
    <w:p>
      <w:r>
        <w:br w:type="page"/>
      </w:r>
    </w:p>
    <w:p>
      <w:pPr>
        <w:pStyle w:val="Heading1"/>
        <w:keepNext/>
      </w:pPr>
      <w:r>
        <w:t>Appendix A. CASE-C003 reference walkthrough</w:t>
      </w:r>
    </w:p>
    <w:p>
      <w:pPr>
        <w:numPr>
          <w:ilvl w:val="0"/>
          <w:numId w:val="11"/>
        </w:numPr>
        <w:spacing w:after="80" w:line="300" w:lineRule="auto"/>
      </w:pPr>
      <w:r>
        <w:rPr>
          <w:rFonts w:ascii="Calibri" w:hAnsi="Calibri"/>
          <w:b w:val="0"/>
          <w:i w:val="0"/>
          <w:color w:val="243B53"/>
          <w:sz w:val="22"/>
        </w:rPr>
        <w:t>Select CASE-C003 / Horizon Works Construction Ltd.</w:t>
      </w:r>
    </w:p>
    <w:p>
      <w:pPr>
        <w:numPr>
          <w:ilvl w:val="0"/>
          <w:numId w:val="11"/>
        </w:numPr>
        <w:spacing w:after="80" w:line="300" w:lineRule="auto"/>
      </w:pPr>
      <w:r>
        <w:rPr>
          <w:rFonts w:ascii="Calibri" w:hAnsi="Calibri"/>
          <w:b w:val="0"/>
          <w:i w:val="0"/>
          <w:color w:val="243B53"/>
          <w:sz w:val="22"/>
        </w:rPr>
        <w:t>Confirm 92/100 CRITICAL, STRONG evidence, and Escalate to SAR on Overview.</w:t>
      </w:r>
    </w:p>
    <w:p>
      <w:pPr>
        <w:numPr>
          <w:ilvl w:val="0"/>
          <w:numId w:val="11"/>
        </w:numPr>
        <w:spacing w:after="80" w:line="300" w:lineRule="auto"/>
      </w:pPr>
      <w:r>
        <w:rPr>
          <w:rFonts w:ascii="Calibri" w:hAnsi="Calibri"/>
          <w:b w:val="0"/>
          <w:i w:val="0"/>
          <w:color w:val="243B53"/>
          <w:sz w:val="22"/>
        </w:rPr>
        <w:t>Show all five detected typologies and explain each point contribution.</w:t>
      </w:r>
    </w:p>
    <w:p>
      <w:pPr>
        <w:numPr>
          <w:ilvl w:val="0"/>
          <w:numId w:val="11"/>
        </w:numPr>
        <w:spacing w:after="80" w:line="300" w:lineRule="auto"/>
      </w:pPr>
      <w:r>
        <w:rPr>
          <w:rFonts w:ascii="Calibri" w:hAnsi="Calibri"/>
          <w:b w:val="0"/>
          <w:i w:val="0"/>
          <w:color w:val="243B53"/>
          <w:sz w:val="22"/>
        </w:rPr>
        <w:t>Trace payroll from ACC-C-003 through worker accounts to controller, funnel, and external cash-out.</w:t>
      </w:r>
    </w:p>
    <w:p>
      <w:pPr>
        <w:numPr>
          <w:ilvl w:val="0"/>
          <w:numId w:val="11"/>
        </w:numPr>
        <w:spacing w:after="80" w:line="300" w:lineRule="auto"/>
      </w:pPr>
      <w:r>
        <w:rPr>
          <w:rFonts w:ascii="Calibri" w:hAnsi="Calibri"/>
          <w:b w:val="0"/>
          <w:i w:val="0"/>
          <w:color w:val="243B53"/>
          <w:sz w:val="22"/>
        </w:rPr>
        <w:t>Open Documents, External intelligence, and Transactions to reconcile the supporting facts.</w:t>
      </w:r>
    </w:p>
    <w:p>
      <w:pPr>
        <w:numPr>
          <w:ilvl w:val="0"/>
          <w:numId w:val="11"/>
        </w:numPr>
        <w:spacing w:after="80" w:line="300" w:lineRule="auto"/>
      </w:pPr>
      <w:r>
        <w:rPr>
          <w:rFonts w:ascii="Calibri" w:hAnsi="Calibri"/>
          <w:b w:val="0"/>
          <w:i w:val="0"/>
          <w:color w:val="243B53"/>
          <w:sz w:val="22"/>
        </w:rPr>
        <w:t>Explain the seven score components and the SHADOWTRACE_SQL_V1 scoring version.</w:t>
      </w:r>
    </w:p>
    <w:p>
      <w:pPr>
        <w:numPr>
          <w:ilvl w:val="0"/>
          <w:numId w:val="11"/>
        </w:numPr>
        <w:spacing w:after="80" w:line="300" w:lineRule="auto"/>
      </w:pPr>
      <w:r>
        <w:rPr>
          <w:rFonts w:ascii="Calibri" w:hAnsi="Calibri"/>
          <w:b w:val="0"/>
          <w:i w:val="0"/>
          <w:color w:val="243B53"/>
          <w:sz w:val="22"/>
        </w:rPr>
        <w:t>Read the executive summary, suspicion hypothesis, evidence summary, missing evidence, and action.</w:t>
      </w:r>
    </w:p>
    <w:p>
      <w:pPr>
        <w:numPr>
          <w:ilvl w:val="0"/>
          <w:numId w:val="11"/>
        </w:numPr>
        <w:spacing w:after="80" w:line="300" w:lineRule="auto"/>
      </w:pPr>
      <w:r>
        <w:rPr>
          <w:rFonts w:ascii="Calibri" w:hAnsi="Calibri"/>
          <w:b w:val="0"/>
          <w:i w:val="0"/>
          <w:color w:val="243B53"/>
          <w:sz w:val="22"/>
        </w:rPr>
        <w:t>Enter the reviewer name and rationale, select Escalate to SAR, acknowledge the human gate, and record the decision.</w:t>
      </w:r>
    </w:p>
    <w:p>
      <w:pPr>
        <w:numPr>
          <w:ilvl w:val="0"/>
          <w:numId w:val="11"/>
        </w:numPr>
        <w:spacing w:after="80" w:line="300" w:lineRule="auto"/>
      </w:pPr>
      <w:r>
        <w:rPr>
          <w:rFonts w:ascii="Calibri" w:hAnsi="Calibri"/>
          <w:b w:val="0"/>
          <w:i w:val="0"/>
          <w:color w:val="243B53"/>
          <w:sz w:val="22"/>
        </w:rPr>
        <w:t>Open Audit Trail and show the linked human decision event; download the case CSV if needed.</w:t>
      </w:r>
    </w:p>
    <w:p>
      <w:pPr>
        <w:pStyle w:val="Heading1"/>
        <w:keepNext/>
      </w:pPr>
      <w:r>
        <w:t>Appendix B. Glossary</w:t>
      </w:r>
    </w:p>
    <w:tbl>
      <w:tblPr>
        <w:tblW w:type="dxa" w:w="9360"/>
        <w:tblLayout w:type="fixed"/>
        <w:tblLook w:firstColumn="1" w:firstRow="1" w:lastColumn="0" w:lastRow="0" w:noHBand="0" w:noVBand="1" w:val="04A0"/>
        <w:jc w:val="left"/>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2200"/>
        <w:gridCol w:w="7160"/>
      </w:tblGrid>
      <w:tr>
        <w:trPr>
          <w:tblHeader w:val="true"/>
        </w:trPr>
        <w:tc>
          <w:tcPr>
            <w:tcW w:type="dxa" w:w="2200"/>
            <w:tcMar>
              <w:top w:w="80" w:type="dxa"/>
              <w:start w:w="120" w:type="dxa"/>
              <w:bottom w:w="80" w:type="dxa"/>
              <w:end w:w="120" w:type="dxa"/>
            </w:tcMar>
            <w:vAlign w:val="center"/>
            <w:shd w:fill="E8EEF5"/>
          </w:tcPr>
          <w:p>
            <w:pPr>
              <w:spacing w:after="0"/>
            </w:pPr>
            <w:r>
              <w:rPr>
                <w:rFonts w:ascii="Calibri" w:hAnsi="Calibri"/>
                <w:b/>
                <w:i w:val="0"/>
                <w:color w:val="102A43"/>
                <w:sz w:val="19"/>
              </w:rPr>
              <w:t>Term</w:t>
            </w:r>
          </w:p>
        </w:tc>
        <w:tc>
          <w:tcPr>
            <w:tcW w:type="dxa" w:w="7160"/>
            <w:tcMar>
              <w:top w:w="80" w:type="dxa"/>
              <w:start w:w="120" w:type="dxa"/>
              <w:bottom w:w="80" w:type="dxa"/>
              <w:end w:w="120" w:type="dxa"/>
            </w:tcMar>
            <w:vAlign w:val="center"/>
            <w:shd w:fill="E8EEF5"/>
          </w:tcPr>
          <w:p>
            <w:pPr>
              <w:spacing w:after="0"/>
            </w:pPr>
            <w:r>
              <w:rPr>
                <w:rFonts w:ascii="Calibri" w:hAnsi="Calibri"/>
                <w:b/>
                <w:i w:val="0"/>
                <w:color w:val="102A43"/>
                <w:sz w:val="19"/>
              </w:rPr>
              <w:t>Definition in ShadowTraceAI</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AML</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243B53"/>
                <w:sz w:val="18"/>
              </w:rPr>
              <w:t>Anti-money laundering controls and investigation activities.</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Case</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243B53"/>
                <w:sz w:val="18"/>
              </w:rPr>
              <w:t>The investigation unit identified by case_id and anchored to a primary account.</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Typology</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243B53"/>
                <w:sz w:val="18"/>
              </w:rPr>
              <w:t>A recognizable suspicious pattern represented as deterministic SQL logic.</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Risk score</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243B53"/>
                <w:sz w:val="18"/>
              </w:rPr>
              <w:t>Capped 0-100 sum of typology and corroborating evidence points.</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Risk band</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243B53"/>
                <w:sz w:val="18"/>
              </w:rPr>
              <w:t>LOW, MEDIUM, HIGH, or CRITICAL classification derived from score thresholds.</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Evidence strength</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243B53"/>
                <w:sz w:val="18"/>
              </w:rPr>
              <w:t>LIMITED, MODERATE, or STRONG rating based on signal, intelligence, and document corroboration.</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Recommended route</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243B53"/>
                <w:sz w:val="18"/>
              </w:rPr>
              <w:t>System-proposed next step that remains subject to human review.</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SAR</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243B53"/>
                <w:sz w:val="18"/>
              </w:rPr>
              <w:t>Suspicious activity report; ShadowTraceAI can recommend assessment but does not file one automatically.</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Controller</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243B53"/>
                <w:sz w:val="18"/>
              </w:rPr>
              <w:t>Account receiving rapid onward transfers from worker accounts.</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Funnel</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243B53"/>
                <w:sz w:val="18"/>
              </w:rPr>
              <w:t>Account consolidating funds from a controller or related network accounts.</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Audit event</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243B53"/>
                <w:sz w:val="18"/>
              </w:rPr>
              <w:t>Timestamped machine or human event linked to a case and governed object.</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243B53"/>
                <w:sz w:val="18"/>
              </w:rPr>
              <w:t>Cortex prompt</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243B53"/>
                <w:sz w:val="18"/>
              </w:rPr>
              <w:t>Evidence-bounded input prepared for optional Snowflake generative summarization.</w:t>
            </w:r>
          </w:p>
        </w:tc>
      </w:tr>
    </w:tbl>
    <w:p>
      <w:pPr>
        <w:spacing w:after="40"/>
      </w:pPr>
    </w:p>
    <w:tbl>
      <w:tblPr>
        <w:tblW w:type="dxa" w:w="9360"/>
        <w:jc w:val="left"/>
        <w:tblLayout w:type="fixed"/>
        <w:tblLook w:firstColumn="1" w:firstRow="1" w:lastColumn="0" w:lastRow="0" w:noHBand="0" w:noVBand="1" w:val="04A0"/>
        <w:tblInd w:w="120" w:type="dxa"/>
        <w:tblBorders>
          <w:top w:val="single" w:sz="8" w:color="2E74B5"/>
          <w:left w:val="single" w:sz="8" w:color="2E74B5"/>
          <w:bottom w:val="single" w:sz="8" w:color="2E74B5"/>
          <w:right w:val="single" w:sz="8" w:color="2E74B5"/>
          <w:insideH w:val="single" w:sz="8" w:color="2E74B5"/>
          <w:insideV w:val="single" w:sz="8" w:color="2E74B5"/>
        </w:tblBorders>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Calibri" w:hAnsi="Calibri"/>
                <w:b/>
                <w:i w:val="0"/>
                <w:color w:val="2E74B5"/>
                <w:sz w:val="22"/>
              </w:rPr>
              <w:t xml:space="preserve">Document ownership: </w:t>
            </w:r>
            <w:r>
              <w:rPr>
                <w:rFonts w:ascii="Calibri" w:hAnsi="Calibri"/>
                <w:b w:val="0"/>
                <w:i w:val="0"/>
                <w:color w:val="243B53"/>
                <w:sz w:val="22"/>
              </w:rPr>
              <w:t>Update this guide whenever screen behavior, SQL contracts, scoring thresholds, decision codes, or audit semantics change. Functional changes should be versioned with the corresponding SQL and application release.</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27D98"/>
        <w:sz w:val="17"/>
      </w:rPr>
      <w:t xml:space="preserve">Deployed hackathon prototype  |  </w:t>
    </w:r>
    <w:r>
      <w:rPr>
        <w:rFonts w:ascii="Calibri" w:hAnsi="Calibri"/>
        <w:b w:val="0"/>
        <w:i w:val="0"/>
        <w:color w:val="627D98"/>
        <w:sz w:val="17"/>
      </w:rPr>
      <w:t xml:space="preserve">Page </w:t>
    </w:r>
    <w:r>
      <w:rPr>
        <w:rFonts w:ascii="Calibri" w:hAnsi="Calibri"/>
        <w:b w:val="0"/>
        <w:i w:val="0"/>
        <w:color w:val="627D98"/>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27D98"/>
        <w:sz w:val="17"/>
      </w:rPr>
      <w:t>SHADOWTRACEAI  |  APPLICATION FUNCTIONALITY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pPr>
        <w:tabs>
          <w:tab w:val="num" w:pos="540"/>
        </w:tabs>
        <w:ind w:left="540" w:hanging="270"/>
      </w:pPr>
    </w:lvl>
  </w:abstractNum>
  <w:num w:numId="10">
    <w:abstractNumId w:val="9"/>
  </w:num>
  <w:abstractNum w:abstractNumId="10">
    <w:multiLevelType w:val="singleLevel"/>
    <w:lvl w:ilvl="0">
      <w:start w:val="1"/>
      <w:numFmt w:val="decimal"/>
      <w:lvlText w:val="%1."/>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43B5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ShadowTraceAI Application Functionality Guide</dc:title>
  <dc:subject>Detailed functional specification for the Snowflake-native AML application</dc:subject>
  <dc:creator>ShadowTraceAI Team</dc:creator>
  <cp:keywords>Snowflake, AML, modern slavery, functionality, Streamlit, investigation</cp:keywords>
  <dc:description>generated by python-docx</dc:description>
  <cp:lastModifiedBy/>
  <cp:revision>1</cp:revision>
  <dcterms:created xsi:type="dcterms:W3CDTF">2013-12-23T23:15:00Z</dcterms:created>
  <dcterms:modified xsi:type="dcterms:W3CDTF">2013-12-23T23:15:00Z</dcterms:modified>
  <cp:category/>
</cp:coreProperties>
</file>