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2ABB" w14:textId="77777777" w:rsidR="00D527FD" w:rsidRPr="00D527FD" w:rsidRDefault="00D527FD" w:rsidP="00D527FD">
      <w:r w:rsidRPr="00D527FD">
        <w:rPr>
          <w:b/>
          <w:bCs/>
        </w:rPr>
        <w:t>Title:</w:t>
      </w:r>
      <w:r w:rsidRPr="00D527FD">
        <w:t xml:space="preserve"> Anti-Money Laundering (AML) Policy v1.4</w:t>
      </w:r>
      <w:r w:rsidRPr="00D527FD">
        <w:br/>
      </w:r>
      <w:r w:rsidRPr="00D527FD">
        <w:rPr>
          <w:b/>
          <w:bCs/>
        </w:rPr>
        <w:t>Purpose:</w:t>
      </w:r>
      <w:r w:rsidRPr="00D527FD">
        <w:br/>
        <w:t>To prevent the use of company systems and resources for money laundering or terrorist financing.</w:t>
      </w:r>
    </w:p>
    <w:p w14:paraId="22EA2DFD" w14:textId="77777777" w:rsidR="00D527FD" w:rsidRPr="00D527FD" w:rsidRDefault="00D527FD" w:rsidP="00D527FD">
      <w:r w:rsidRPr="00D527FD">
        <w:rPr>
          <w:b/>
          <w:bCs/>
        </w:rPr>
        <w:t>Customer Due Diligence:</w:t>
      </w:r>
      <w:r w:rsidRPr="00D527FD">
        <w:br/>
        <w:t>All customers must undergo identity verification before account creation or transaction approval.</w:t>
      </w:r>
    </w:p>
    <w:p w14:paraId="0CF30586" w14:textId="77777777" w:rsidR="00D527FD" w:rsidRPr="00D527FD" w:rsidRDefault="00D527FD" w:rsidP="00D527FD">
      <w:r w:rsidRPr="00D527FD">
        <w:rPr>
          <w:b/>
          <w:bCs/>
        </w:rPr>
        <w:t>Suspicious Transactions:</w:t>
      </w:r>
      <w:r w:rsidRPr="00D527FD">
        <w:br/>
        <w:t>Any transaction above INR 500,000 or showing unusual patterns must be reviewed and flagged for compliance review.</w:t>
      </w:r>
    </w:p>
    <w:p w14:paraId="6227AB83" w14:textId="77777777" w:rsidR="00D527FD" w:rsidRPr="00D527FD" w:rsidRDefault="00D527FD" w:rsidP="00D527FD">
      <w:r w:rsidRPr="00D527FD">
        <w:rPr>
          <w:b/>
          <w:bCs/>
        </w:rPr>
        <w:t>Record Keeping:</w:t>
      </w:r>
      <w:r w:rsidRPr="00D527FD">
        <w:br/>
        <w:t>All AML-related records shall be preserved for a minimum of five years from the date of transaction.</w:t>
      </w:r>
    </w:p>
    <w:p w14:paraId="26EBA585" w14:textId="77777777" w:rsidR="00D527FD" w:rsidRPr="00D527FD" w:rsidRDefault="00D527FD" w:rsidP="00D527FD">
      <w:r w:rsidRPr="00D527FD">
        <w:rPr>
          <w:b/>
          <w:bCs/>
        </w:rPr>
        <w:t>Reporting Obligations:</w:t>
      </w:r>
      <w:r w:rsidRPr="00D527FD">
        <w:br/>
        <w:t>All suspicious activity reports (SARs) must be filed with the Financial Intelligence Unit (FIU) immediately.</w:t>
      </w:r>
    </w:p>
    <w:p w14:paraId="6122E612" w14:textId="77777777" w:rsidR="00D527FD" w:rsidRDefault="00D527FD"/>
    <w:sectPr w:rsidR="00D5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FD"/>
    <w:rsid w:val="00246DE3"/>
    <w:rsid w:val="00D5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8ABE"/>
  <w15:chartTrackingRefBased/>
  <w15:docId w15:val="{E1B3AB8B-95EB-419A-8AD8-8729D2DF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Batra</dc:creator>
  <cp:keywords/>
  <dc:description/>
  <cp:lastModifiedBy>Manoj Batra</cp:lastModifiedBy>
  <cp:revision>1</cp:revision>
  <dcterms:created xsi:type="dcterms:W3CDTF">2025-10-19T06:12:00Z</dcterms:created>
  <dcterms:modified xsi:type="dcterms:W3CDTF">2025-10-19T06:30:00Z</dcterms:modified>
</cp:coreProperties>
</file>