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C2A4" w14:textId="77777777" w:rsidR="00DD202D" w:rsidRPr="00DD202D" w:rsidRDefault="00DD202D" w:rsidP="00DD202D">
      <w:r w:rsidRPr="00DD202D">
        <w:rPr>
          <w:b/>
          <w:bCs/>
        </w:rPr>
        <w:t>Title:</w:t>
      </w:r>
      <w:r w:rsidRPr="00DD202D">
        <w:t xml:space="preserve"> Employee Expense Reimbursement Policy v2.5</w:t>
      </w:r>
      <w:r w:rsidRPr="00DD202D">
        <w:br/>
      </w:r>
      <w:r w:rsidRPr="00DD202D">
        <w:rPr>
          <w:b/>
          <w:bCs/>
        </w:rPr>
        <w:t>Purpose:</w:t>
      </w:r>
      <w:r w:rsidRPr="00DD202D">
        <w:br/>
        <w:t>To define clear procedures for employees claiming reimbursement for business-related expenses.</w:t>
      </w:r>
    </w:p>
    <w:p w14:paraId="1AD4FD00" w14:textId="77777777" w:rsidR="00DD202D" w:rsidRPr="00DD202D" w:rsidRDefault="00DD202D" w:rsidP="00DD202D">
      <w:r w:rsidRPr="00DD202D">
        <w:rPr>
          <w:b/>
          <w:bCs/>
        </w:rPr>
        <w:t>Claim Submission:</w:t>
      </w:r>
      <w:r w:rsidRPr="00DD202D">
        <w:br/>
        <w:t>All claims must be submitted within 30 days of expense occurrence, along with valid receipts.</w:t>
      </w:r>
    </w:p>
    <w:p w14:paraId="77FAA04B" w14:textId="77777777" w:rsidR="00DD202D" w:rsidRPr="00DD202D" w:rsidRDefault="00DD202D" w:rsidP="00DD202D">
      <w:r w:rsidRPr="00DD202D">
        <w:rPr>
          <w:b/>
          <w:bCs/>
        </w:rPr>
        <w:t>Approval:</w:t>
      </w:r>
      <w:r w:rsidRPr="00DD202D">
        <w:br/>
        <w:t>Claims above INR 10,000 require department head approval.</w:t>
      </w:r>
    </w:p>
    <w:p w14:paraId="64E45F65" w14:textId="77777777" w:rsidR="00DD202D" w:rsidRPr="00DD202D" w:rsidRDefault="00DD202D" w:rsidP="00DD202D">
      <w:r w:rsidRPr="00DD202D">
        <w:rPr>
          <w:b/>
          <w:bCs/>
        </w:rPr>
        <w:t>Non-Reimbursable Items:</w:t>
      </w:r>
      <w:r w:rsidRPr="00DD202D">
        <w:br/>
        <w:t>Personal entertainment, fines, and penalties are not reimbursable.</w:t>
      </w:r>
    </w:p>
    <w:p w14:paraId="282C932A" w14:textId="77777777" w:rsidR="00DD202D" w:rsidRPr="00DD202D" w:rsidRDefault="00DD202D" w:rsidP="00DD202D">
      <w:r w:rsidRPr="00DD202D">
        <w:rPr>
          <w:b/>
          <w:bCs/>
        </w:rPr>
        <w:t>Audit &amp; Compliance:</w:t>
      </w:r>
      <w:r w:rsidRPr="00DD202D">
        <w:br/>
        <w:t>The Finance department may randomly audit claims for authenticity and policy adherence.</w:t>
      </w:r>
    </w:p>
    <w:p w14:paraId="40112050" w14:textId="77777777" w:rsidR="00DD202D" w:rsidRDefault="00DD202D"/>
    <w:sectPr w:rsidR="00DD2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2D"/>
    <w:rsid w:val="00246DE3"/>
    <w:rsid w:val="00D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D6AA"/>
  <w15:chartTrackingRefBased/>
  <w15:docId w15:val="{788BA9D7-57AC-4BD3-B4CE-86FB49BD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Batra</dc:creator>
  <cp:keywords/>
  <dc:description/>
  <cp:lastModifiedBy>Manoj Batra</cp:lastModifiedBy>
  <cp:revision>1</cp:revision>
  <dcterms:created xsi:type="dcterms:W3CDTF">2025-10-19T06:30:00Z</dcterms:created>
  <dcterms:modified xsi:type="dcterms:W3CDTF">2025-10-19T06:31:00Z</dcterms:modified>
</cp:coreProperties>
</file>