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9"/>
        </w:rPr>
        <w:t>MANOJ DATTA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</w:rPr>
        <w:t>Ph.D. Student, Agricultural and Applied Economics, Virginia Tech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</w:rPr>
        <w:t xml:space="preserve">manojdatta@vt.edu  •  +1 (929) 386-3739  •  </w:t>
      </w:r>
      <w:hyperlink r:id="rId9">
        <w:r>
          <w:rPr>
            <w:rFonts w:ascii="Times New Roman" w:hAnsi="Times New Roman"/>
            <w:color w:val="0563C1"/>
            <w:u w:val="single"/>
            <w:sz w:val="22"/>
          </w:rPr>
          <w:t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 •  </w:t>
      </w:r>
      <w:hyperlink r:id="rId10">
        <w:r>
          <w:rPr>
            <w:rFonts w:ascii="Times New Roman" w:hAnsi="Times New Roman"/>
            <w:color w:val="0563C1"/>
            <w:u w:val="single"/>
            <w:sz w:val="22"/>
          </w:rPr>
          <w:t>ORCID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 •  </w:t>
      </w:r>
      <w:hyperlink r:id="rId11">
        <w:r>
          <w:rPr>
            <w:rFonts w:ascii="Times New Roman" w:hAnsi="Times New Roman"/>
            <w:color w:val="0563C1"/>
            <w:u w:val="single"/>
            <w:sz w:val="22"/>
          </w:rPr>
          <w:t>Website</w:t>
        </w:r>
      </w:hyperlink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RESEARCH INTERESTS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International trade policy, agricultural trade, and applied econometrics, including gravity models, panel data methods (TWFE, PPML), non-tariff measures, and spatial and event-study methods.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Bringing 8 years of banking and financial-sector experience in loan operations, compliance, and risk assessment to applied econometric research, with technical skills in R, Stata, and Excel.</w:t>
      </w:r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RESEARCH</w:t>
      </w:r>
    </w:p>
    <w:p>
      <w:pPr>
        <w:keepNext/>
        <w:tabs>
          <w:tab w:pos="9936" w:val="right"/>
        </w:tabs>
        <w:spacing w:before="40"/>
      </w:pPr>
      <w:r>
        <w:rPr>
          <w:rFonts w:ascii="Times New Roman" w:hAnsi="Times New Roman" w:eastAsia="Times New Roman"/>
          <w:b/>
          <w:i w:val="0"/>
        </w:rPr>
        <w:t>The Impact of U.S. Tariffs and Free Trade Agreements on Bilateral Trade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Under Review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 xml:space="preserve">Submitted to </w:t>
      </w:r>
      <w:r>
        <w:rPr>
          <w:rFonts w:ascii="Times New Roman" w:hAnsi="Times New Roman" w:eastAsia="Times New Roman"/>
          <w:b w:val="0"/>
          <w:i/>
        </w:rPr>
        <w:t>The Manchester School</w:t>
      </w:r>
      <w:r>
        <w:rPr>
          <w:rFonts w:ascii="Times New Roman" w:hAnsi="Times New Roman" w:eastAsia="Times New Roman"/>
          <w:b w:val="0"/>
          <w:i w:val="0"/>
        </w:rPr>
        <w:t>; with Chowdhury and Dr. Dragan Miljkovic. Uses TWFE and PPML gravity models on 20 U.S. FTA partners (2000–2024) to show FTA entry raises trade ~24%, with gains proportional to the depth of tariff liberalization.</w:t>
      </w:r>
    </w:p>
    <w:p>
      <w:pPr>
        <w:keepNext/>
        <w:tabs>
          <w:tab w:pos="9936" w:val="right"/>
        </w:tabs>
        <w:spacing w:before="40"/>
      </w:pPr>
      <w:r>
        <w:rPr>
          <w:rFonts w:ascii="Times New Roman" w:hAnsi="Times New Roman" w:eastAsia="Times New Roman"/>
          <w:b/>
          <w:i w:val="0"/>
        </w:rPr>
        <w:t>SPS Measures, Technical Barriers to Trade, and U.S. Agricultural Exports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In Progress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With Dr. Jason Grant and Emre Karagulle. Extending USTR's National Trade Estimate barriers database beyond 2021 to study how U.S. agricultural exports adjust following the introduction and removal of SPS/TBT measures, using event-study and staggered difference-in-differences methods.</w:t>
      </w:r>
    </w:p>
    <w:p>
      <w:pPr>
        <w:keepNext/>
        <w:tabs>
          <w:tab w:pos="9936" w:val="right"/>
        </w:tabs>
        <w:spacing w:before="40"/>
      </w:pPr>
      <w:r>
        <w:rPr>
          <w:rFonts w:ascii="Times New Roman" w:hAnsi="Times New Roman" w:eastAsia="Times New Roman"/>
          <w:b/>
          <w:i w:val="0"/>
        </w:rPr>
        <w:t>The Impact of Processing Plant Entry on U.S. Local Grain Prices: Evidence from Soybean Crush and Corn Ethanol Plants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M.S. Thesis, NDSU (2026); Advisor: Dr. Sandro Steinbach. Difference-in-differences, event-study, and spatial distance-decay models on daily elevator-level prices (2004–2025) show processing-plant entry raises nearby grain prices, e.g. +7.1 cents/bu for soybean and +6.9 cents/bu for corn within 25 miles.</w:t>
      </w:r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EDUCATION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/>
          <w:i w:val="0"/>
        </w:rPr>
        <w:t>Ph.D. in Agricultural and Applied Economics, Virginia Tech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In Progress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Advisor: Dr. Jason Grant</w:t>
      </w:r>
    </w:p>
    <w:p>
      <w:pPr>
        <w:tabs>
          <w:tab w:pos="9936" w:val="right"/>
        </w:tabs>
        <w:spacing w:before="60"/>
      </w:pPr>
      <w:r>
        <w:rPr>
          <w:rFonts w:ascii="Times New Roman" w:hAnsi="Times New Roman" w:eastAsia="Times New Roman"/>
          <w:b/>
          <w:i w:val="0"/>
        </w:rPr>
        <w:t>M.S. in Agribusiness &amp; Applied Economics, North Dakota State University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May 2026, GPA 4.00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Advisor: Dr. Sandro Steinbach</w:t>
      </w:r>
    </w:p>
    <w:p>
      <w:pPr>
        <w:tabs>
          <w:tab w:pos="9936" w:val="right"/>
        </w:tabs>
        <w:spacing w:before="60"/>
      </w:pPr>
      <w:r>
        <w:rPr>
          <w:rFonts w:ascii="Times New Roman" w:hAnsi="Times New Roman" w:eastAsia="Times New Roman"/>
          <w:b/>
          <w:i w:val="0"/>
        </w:rPr>
        <w:t>Master of Social Science (Economics), University of Chittagong, Bangladesh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2014, GPA 3.63</w:t>
      </w:r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PROFESSIONAL EXPERIENCE</w:t>
      </w:r>
    </w:p>
    <w:p>
      <w:pPr>
        <w:keepNext/>
        <w:tabs>
          <w:tab w:pos="9936" w:val="right"/>
        </w:tabs>
        <w:spacing w:before="40"/>
      </w:pPr>
      <w:r>
        <w:rPr>
          <w:rFonts w:ascii="Times New Roman" w:hAnsi="Times New Roman" w:eastAsia="Times New Roman"/>
          <w:b/>
          <w:i w:val="0"/>
        </w:rPr>
        <w:t>Senior Officer, Sonali Bank PLC, Bangladesh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April 2019 – July 2024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Managed corporate &amp; retail loan accounts and banking services, supervising compliance and financial reporting, improving operational efficiency by 20% and customer satisfaction by 30%.</w:t>
      </w:r>
    </w:p>
    <w:p>
      <w:pPr>
        <w:keepNext/>
        <w:tabs>
          <w:tab w:pos="9936" w:val="right"/>
        </w:tabs>
        <w:spacing w:before="40"/>
      </w:pPr>
      <w:r>
        <w:rPr>
          <w:rFonts w:ascii="Times New Roman" w:hAnsi="Times New Roman" w:eastAsia="Times New Roman"/>
          <w:b/>
          <w:i w:val="0"/>
        </w:rPr>
        <w:t>Principal Officer, AB Bank Ltd, Bangladesh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December 2016 – April 2019</w:t>
      </w:r>
    </w:p>
    <w:p>
      <w:pPr>
        <w:ind w:left="360" w:hanging="259"/>
        <w:jc w:val="both"/>
      </w:pPr>
      <w:r>
        <w:rPr>
          <w:rFonts w:ascii="Times New Roman" w:hAnsi="Times New Roman" w:eastAsia="Times New Roman"/>
          <w:b w:val="0"/>
          <w:i w:val="0"/>
        </w:rPr>
        <w:t xml:space="preserve">•  </w:t>
      </w:r>
      <w:r>
        <w:rPr>
          <w:rFonts w:ascii="Times New Roman" w:hAnsi="Times New Roman" w:eastAsia="Times New Roman"/>
          <w:b w:val="0"/>
          <w:i w:val="0"/>
        </w:rPr>
        <w:t>Facilitated foreign trade operations (Import Letters of Credit), reducing processing time by 15%, while authorizing high-value cheques, drafts, and pay orders with high transaction accuracy.</w:t>
      </w:r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CERTIFICATIONS &amp; TRAINING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Diplomaed Associate of The Institute of Bankers, Bangladesh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2022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Essential Laws &amp; Regulations for Banking, Sonali Bank PLC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2022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Project Financing &amp; Risk Assessment, Sonali Bank PLC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2019</w:t>
      </w:r>
    </w:p>
    <w:p>
      <w:pPr>
        <w:keepNext/>
        <w:spacing w:before="140" w:after="60"/>
        <w:pBdr>
          <w:bottom w:val="single" w:sz="6" w:space="1" w:color="auto"/>
        </w:pBdr>
      </w:pPr>
      <w:r>
        <w:rPr>
          <w:rFonts w:ascii="Times New Roman" w:hAnsi="Times New Roman" w:eastAsia="Times New Roman"/>
          <w:b/>
          <w:i w:val="0"/>
        </w:rPr>
        <w:t>EXTRACURRICULAR ACTIVITIES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Elected Treasurer, Graduate Student Council, NDSU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2025–2026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Vice President (Planning), Agribusiness and Applied Economics Graduate Club, NDSU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2025–2026</w:t>
      </w:r>
    </w:p>
    <w:p>
      <w:pPr>
        <w:tabs>
          <w:tab w:pos="9936" w:val="right"/>
        </w:tabs>
      </w:pPr>
      <w:r>
        <w:rPr>
          <w:rFonts w:ascii="Times New Roman" w:hAnsi="Times New Roman" w:eastAsia="Times New Roman"/>
          <w:b w:val="0"/>
          <w:i w:val="0"/>
        </w:rPr>
        <w:t>Vice President, Bangladesh Student Organization, NDSU</w:t>
      </w:r>
      <w:r>
        <w:rPr>
          <w:rFonts w:ascii="Times New Roman" w:hAnsi="Times New Roman" w:eastAsia="Times New Roman"/>
          <w:b w:val="0"/>
          <w:i w:val="0"/>
        </w:rPr>
        <w:tab/>
      </w:r>
      <w:r>
        <w:rPr>
          <w:rFonts w:ascii="Times New Roman" w:hAnsi="Times New Roman" w:eastAsia="Times New Roman"/>
          <w:b w:val="0"/>
          <w:i w:val="0"/>
        </w:rPr>
        <w:t>2025–2026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anoj-datta-68495a75/" TargetMode="External"/><Relationship Id="rId10" Type="http://schemas.openxmlformats.org/officeDocument/2006/relationships/hyperlink" Target="https://orcid.org/0009-0003-9950-358X" TargetMode="External"/><Relationship Id="rId11" Type="http://schemas.openxmlformats.org/officeDocument/2006/relationships/hyperlink" Target="https://manojdatta-vt.github.io/manoj-datta-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Manoj Datta - CV</dc:title>
  <dc:subject/>
  <dc:creator>Manoj Datta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