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42"/>
          <w:sz-cs w:val="42"/>
          <w:b/>
          <w:spacing w:val="0"/>
        </w:rPr>
        <w:t xml:space="preserve">Mobile Device Forensics: Evidence Extraction, Investigative Challenges, and Future Directions</w:t>
      </w:r>
      <w:r>
        <w:rPr>
          <w:rFonts w:ascii="Times New Roman" w:hAnsi="Times New Roman" w:cs="Times New Roman"/>
          <w:sz w:val="42"/>
          <w:sz-cs w:val="42"/>
          <w:spacing w:val="0"/>
        </w:rPr>
        <w:t xml:space="preserve"/>
      </w:r>
    </w:p>
    <w:p>
      <w:pPr>
        <w:jc w:val="center"/>
      </w:pPr>
      <w:r>
        <w:rPr>
          <w:rFonts w:ascii="Times New Roman" w:hAnsi="Times New Roman" w:cs="Times New Roman"/>
          <w:sz w:val="32"/>
          <w:sz-cs w:val="32"/>
          <w:i/>
          <w:spacing w:val="0"/>
        </w:rPr>
        <w:t xml:space="preserve">Literature Review Paper</w:t>
      </w:r>
    </w:p>
    <w:p>
      <w:pPr>
        <w:jc w:val="center"/>
      </w:pPr>
      <w:r>
        <w:rPr>
          <w:rFonts w:ascii="Times New Roman" w:hAnsi="Times New Roman" w:cs="Times New Roman"/>
          <w:sz w:val="32"/>
          <w:sz-cs w:val="32"/>
          <w:b/>
          <w:spacing w:val="0"/>
        </w:rPr>
        <w:t xml:space="preserve">GADAMSETTY V SAI MANOJ KUMAR</w:t>
      </w:r>
    </w:p>
    <w:p>
      <w:pPr>
        <w:jc w:val="center"/>
      </w:pPr>
      <w:r>
        <w:rPr>
          <w:rFonts w:ascii="Times New Roman" w:hAnsi="Times New Roman" w:cs="Times New Roman"/>
          <w:sz w:val="32"/>
          <w:sz-cs w:val="32"/>
          <w:spacing w:val="0"/>
        </w:rPr>
        <w:t xml:space="preserve">Student ID: 2025MT12100</w:t>
        <w:br/>
        <w:t xml:space="preserve">Course: Cyber Crimes, Forensics and Incident Handling</w:t>
        <w:br/>
        <w:t xml:space="preserve">Course Code: SSZG588</w:t>
        <w:br/>
        <w:t xml:space="preserve">6 October 2026</w:t>
      </w:r>
    </w:p>
    <w:p>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b/>
          <w:spacing w:val="0"/>
        </w:rPr>
        <w:t xml:space="preserve">Abstract</w:t>
      </w:r>
    </w:p>
    <w:p>
      <w:pPr>
        <w:spacing w:after="320"/>
      </w:pPr>
      <w:r>
        <w:rPr>
          <w:rFonts w:ascii="Times New Roman" w:hAnsi="Times New Roman" w:cs="Times New Roman"/>
          <w:sz w:val="32"/>
          <w:sz-cs w:val="32"/>
          <w:spacing w:val="0"/>
        </w:rPr>
        <w:t xml:space="preserve">Mobile phones are now persistent records of communication, movement, authentication, financial activity, work, and social relationships. Their evidential value has therefore grown at the same time that modern security controls have made acquisition more difficult. This literature review examines mobile-device forensics as an investigative discipline, with particular attention to evidence extraction and the conditions that determine whether extracted material is reliable and admissible. The review synthesizes research and professional guidance on Android and iOS acquisition, logical and file-system extraction, physical and exploit-assisted methods, local backups, cloud-synchronized records, volatile memory, tool validation, chain of custody, privacy, and artificial-intelligence-assisted triage. The literature indicates that extraction is not a single technical event but a layered process whose results depend on device model, operating-system version, patch level, authentication state, encryption, application design, and network connectivity. Android fragmentation creates broad variation in acquisition pathways, while iOS presents a more controlled ecosystem with strong hardware-backed protections. Cloud and backup sources can supplement or exceed handset evidence, but they introduce authentication, jurisdiction, provenance, and synchronization problems. Across the literature, the central weakness is not a lack of extraction tools; it is the limited reproducibility and transparency of claims made from tool-generated results. A defensible examination therefore requires careful state preservation, validated methods, documented limitations, independent verification, and proportionate treatment of personal data. Future research should prioritize shared test corpora, cross-platform validation, privacy-preserving acquisition, dependable memory forensics, and auditable artificial intelligence.</w:t>
      </w:r>
    </w:p>
    <w:p>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b/>
          <w:spacing w:val="0"/>
        </w:rPr>
        <w:t xml:space="preserve">Introduction</w:t>
      </w:r>
    </w:p>
    <w:p>
      <w:pPr>
        <w:jc w:val="both"/>
        <w:spacing w:after="320"/>
      </w:pPr>
      <w:r>
        <w:rPr>
          <w:rFonts w:ascii="Times New Roman" w:hAnsi="Times New Roman" w:cs="Times New Roman"/>
          <w:sz w:val="32"/>
          <w:sz-cs w:val="32"/>
          <w:spacing w:val="0"/>
        </w:rPr>
        <w:t xml:space="preserve">Digital evidence is information of potential investigative value that is stored or transmitted in digital form. Mobile-device forensics is the disciplined identification, preservation, acquisition, examination, analysis, interpretation, and reporting of such information from phones, tablets, removable media, paired wearables, backups, and connected services. It is a branch of digital forensics, but it cannot simply be treated as a smaller version of computer forensics. A contemporary phone is simultaneously a computer, a sensor platform, a communications endpoint, a cryptographic key holder, and a gateway to cloud services. It may contain messages, photographs, location histories, browser records, application databases, contact networks, authentication tokens, health data, and records created by people other than the owner.</w:t>
      </w:r>
    </w:p>
    <w:p>
      <w:pPr>
        <w:jc w:val="both"/>
        <w:spacing w:after="320"/>
      </w:pPr>
      <w:r>
        <w:rPr>
          <w:rFonts w:ascii="Times New Roman" w:hAnsi="Times New Roman" w:cs="Times New Roman"/>
          <w:sz w:val="32"/>
          <w:sz-cs w:val="32"/>
          <w:spacing w:val="0"/>
        </w:rPr>
        <w:t xml:space="preserve">Mobile evidence is relevant to offences ranging from fraud and harassment to terrorism, intellectual-property theft, child exploitation, and organized cybercrime. In an incident-response setting it may also show how an attacker entered an account, what data was accessed, or whether a compromised device was used to maintain persistence. NIST Special Publication 800-101 Revision 1 presents mobile forensics as a process of preservation, acquisition, examination, analysis, and reporting rather than as a tool-specific activity (National Institute of Standards and Technology [NIST], 2014). ISO/IEC 27037 (International Organization for Standardization [ISO], 2012) similarly emphasizes identification, collection, acquisition, preservation, and documentation.</w:t>
      </w:r>
    </w:p>
    <w:p>
      <w:pPr>
        <w:jc w:val="both"/>
        <w:spacing w:after="320"/>
      </w:pPr>
      <w:r>
        <w:rPr>
          <w:rFonts w:ascii="Times New Roman" w:hAnsi="Times New Roman" w:cs="Times New Roman"/>
          <w:sz w:val="32"/>
          <w:sz-cs w:val="32"/>
          <w:spacing w:val="0"/>
        </w:rPr>
        <w:t xml:space="preserve">This review focuses on the question: how can investigators obtain useful mobile evidence while preserving its integrity, explaining its limitations, and respecting legal and privacy boundaries? It first outlines the main evidence sources and extraction approaches. It then compares Android and iOS constraints, considers volatile memory and cloud evidence, and evaluates validation, chain of custody, admissibility, and privacy. A critical analysis compares a maximal-extraction model with a targeted, validated, and proportionate model. The review concludes with research priorities for a field that changes whenever a new operating-system release, device chipset, application format, or cloud service changes the evidential environment.</w:t>
      </w:r>
    </w:p>
    <w:p>
      <w:pPr>
        <w:jc w:val="center"/>
        <w:spacing w:after="320"/>
      </w:pPr>
      <w:r>
        <w:rPr>
          <w:rFonts w:ascii="Times New Roman" w:hAnsi="Times New Roman" w:cs="Times New Roman"/>
          <w:sz w:val="32"/>
          <w:sz-cs w:val="32"/>
          <w:b/>
          <w:spacing w:val="0"/>
        </w:rPr>
        <w:t xml:space="preserve">a) Cyber Crimes: Context and Mobile Evidence</w:t>
      </w:r>
    </w:p>
    <w:p>
      <w:pPr>
        <w:jc w:val="both"/>
        <w:spacing w:after="320"/>
      </w:pPr>
      <w:r>
        <w:rPr>
          <w:rFonts w:ascii="Times New Roman" w:hAnsi="Times New Roman" w:cs="Times New Roman"/>
          <w:sz w:val="32"/>
          <w:sz-cs w:val="32"/>
          <w:spacing w:val="0"/>
        </w:rPr>
        <w:t xml:space="preserve">Mobile-device forensics must be understood within the changing nature of cybercrime. Phishing and credential theft increasingly use mobile messaging, social-media impersonation, malicious links, and fraudulent applications. Ransomware investigations may involve phones used for attacker communication, multifactor authentication, cryptocurrency wallets, or recovery negotiations. Identity theft can leave evidence in password managers, email accounts, payment applications, SIM records, and one-time-password messages. Cyberstalking, image-based abuse, online fraud, and the distribution of illegal content also frequently involve mobile applications and cloud synchronization. In more complex cases, mobile devices support cyber-espionage or cyber-terrorism by providing communication, reconnaissance, remote administration, and access to organizational accounts.</w:t>
      </w:r>
    </w:p>
    <w:p>
      <w:pPr>
        <w:jc w:val="both"/>
        <w:spacing w:after="320"/>
      </w:pPr>
      <w:r>
        <w:rPr>
          <w:rFonts w:ascii="Times New Roman" w:hAnsi="Times New Roman" w:cs="Times New Roman"/>
          <w:sz w:val="32"/>
          <w:sz-cs w:val="32"/>
          <w:spacing w:val="0"/>
        </w:rPr>
        <w:t xml:space="preserve">Recent incident reporting shows why the mobile endpoint cannot be separated from the wider crime scene. The FBI’s Internet Crime Complaint Center (2025) reported more than 859,000 complaints in 2024 and adjusted losses exceeding $16 billion, with investment fraud, business email compromise, and technology-support fraud among the most damaging categories. These figures are complaint-based rather than a complete measure of cybercrime, but they demonstrate the scale of financially motivated digital offending. Verizon’s Data Breach Investigations Report (2025) similarly describes the continuing importance of credential abuse, vulnerability exploitation, and human involvement in breaches. Mobile phones may be the point at which a victim receives a convincing message, approves a login, shares a recovery code, or communicates with an offender.</w:t>
      </w:r>
    </w:p>
    <w:p>
      <w:pPr>
        <w:jc w:val="both"/>
        <w:spacing w:after="320"/>
      </w:pPr>
      <w:r>
        <w:rPr>
          <w:rFonts w:ascii="Times New Roman" w:hAnsi="Times New Roman" w:cs="Times New Roman"/>
          <w:sz w:val="32"/>
          <w:sz-cs w:val="32"/>
          <w:spacing w:val="0"/>
        </w:rPr>
        <w:t xml:space="preserve">The impacts extend across individuals, organizations, and governments. Individuals may lose money, privacy, reputation, or control of personal accounts. Organizations face operational disruption, regulatory exposure, intellectual-property loss, and compromise of identity systems. Governments may face attacks against public services, critical infrastructure, elections, and national-security information. A phone can connect these levels: an employee’s compromised device may expose corporate credentials, while a criminal group’s mobile communications may link a local offence to a transnational operation. This interconnectedness explains why mobile evidence should be correlated with email, identity-provider, network, endpoint, financial, and provider records rather than examined as an isolated object.</w:t>
      </w:r>
    </w:p>
    <w:p>
      <w:pPr>
        <w:jc w:val="both"/>
        <w:spacing w:after="320"/>
      </w:pPr>
      <w:r>
        <w:rPr>
          <w:rFonts w:ascii="Times New Roman" w:hAnsi="Times New Roman" w:cs="Times New Roman"/>
          <w:sz w:val="32"/>
          <w:sz-cs w:val="32"/>
          <w:spacing w:val="0"/>
        </w:rPr>
        <w:t xml:space="preserve">Cybercrime statistics must nevertheless be interpreted carefully. Complaint totals do not equal confirmed incidents, reported losses vary by victim capacity and reporting behavior, and a single incident may involve several crime categories. Forensic conclusions should therefore avoid converting a mobile artifact into a crime statistic or an attribution without corroboration. The appropriate role of mobile evidence is to establish or test propositions: whether an account was accessed, whether a message was sent or received, whether a device contained a relevant application record, or whether a known account or device was associated with an event. This proposition-led approach links the cybercrime context to the validation and proportionality principles discussed later.</w:t>
      </w:r>
    </w:p>
    <w:p>
      <w:pPr>
        <w:jc w:val="center"/>
        <w:spacing w:after="320"/>
      </w:pPr>
      <w:r>
        <w:rPr>
          <w:rFonts w:ascii="Times New Roman" w:hAnsi="Times New Roman" w:cs="Times New Roman"/>
          <w:sz w:val="32"/>
          <w:sz-cs w:val="32"/>
          <w:b/>
          <w:spacing w:val="0"/>
        </w:rPr>
        <w:t xml:space="preserve">b) Digital Forensics: Mobile Evidence and Cybercrime Investigations</w:t>
      </w:r>
    </w:p>
    <w:p>
      <w:pPr>
        <w:jc w:val="both"/>
        <w:spacing w:after="320"/>
      </w:pPr>
      <w:r>
        <w:rPr>
          <w:rFonts w:ascii="Times New Roman" w:hAnsi="Times New Roman" w:cs="Times New Roman"/>
          <w:sz w:val="32"/>
          <w:sz-cs w:val="32"/>
          <w:spacing w:val="0"/>
        </w:rPr>
        <w:t xml:space="preserve">Mobile evidence is valuable because it connects events to people, places, accounts, and time. A message database may show communication; a location record may place a device near an event; an authentication token may explain access to a service; and photographs may preserve information that was later deleted from another system. In cybercrime investigations, a phone can also be the second factor used to enter a victim’s account, the control interface for malware, or the endpoint through which stolen data was received. The meaning of an artifact depends on context. A location coordinate is not automatically proof that a person was physically present, and an application timestamp may represent creation, synchronization, display, or server time.</w:t>
      </w:r>
    </w:p>
    <w:p>
      <w:pPr>
        <w:jc w:val="both"/>
        <w:spacing w:after="320"/>
      </w:pPr>
      <w:r>
        <w:rPr>
          <w:rFonts w:ascii="Times New Roman" w:hAnsi="Times New Roman" w:cs="Times New Roman"/>
          <w:sz w:val="32"/>
          <w:sz-cs w:val="32"/>
          <w:spacing w:val="0"/>
        </w:rPr>
        <w:t xml:space="preserve">The evidence environment is distributed. Relevant records may be found in handset storage, removable media, local computer backups, manufacturer backups, application-provider systems, push-notification services, vehicle systems, smart watches, and network logs. Moreb (2022) describes this artifact-centered approach as necessary because a modern investigation cannot assume that the handset is the complete source of truth. Cloud synchronization may preserve messages or media after local deletion, but it may also create multiple copies with different timestamps and retention periods. The examiner must establish which system generated an artifact, which system synchronized it, and whether the recovered representation is complete.</w:t>
      </w:r>
    </w:p>
    <w:p>
      <w:pPr>
        <w:jc w:val="both"/>
        <w:spacing w:after="320"/>
      </w:pPr>
      <w:r>
        <w:rPr>
          <w:rFonts w:ascii="Times New Roman" w:hAnsi="Times New Roman" w:cs="Times New Roman"/>
          <w:sz w:val="32"/>
          <w:sz-cs w:val="32"/>
          <w:spacing w:val="0"/>
        </w:rPr>
        <w:t xml:space="preserve">Research on Android memory acquisition illustrates the value of evidence that is not present in ordinary file-system extraction. Younis et al. (2021) showed that memory acquisition can recover traces associated with private browsing. Ali-Gombe et al. (2020) proposed application-agnostic semantic analysis of Android in-memory artifacts, while Sudhakaran et al. (2022) examined reliability problems in Android userland memory forensics. These studies support a cautious conclusion: volatile evidence can answer questions that persistent storage cannot, but its acquisition can alter the device and its interpretation is sensitive to operating-system version and acquisition method.</w:t>
      </w:r>
    </w:p>
    <w:p>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b/>
          <w:spacing w:val="0"/>
        </w:rPr>
        <w:t xml:space="preserve">Evidence-Extraction Approaches</w:t>
      </w:r>
    </w:p>
    <w:p>
      <w:pPr>
        <w:spacing w:after="160"/>
      </w:pPr>
      <w:r>
        <w:rPr>
          <w:rFonts w:ascii="Times New Roman" w:hAnsi="Times New Roman" w:cs="Times New Roman"/>
          <w:sz w:val="32"/>
          <w:sz-cs w:val="32"/>
          <w:b/>
          <w:spacing w:val="0"/>
        </w:rPr>
        <w:t xml:space="preserve">Logical and manual extraction</w:t>
      </w:r>
    </w:p>
    <w:p>
      <w:pPr>
        <w:jc w:val="both"/>
        <w:spacing w:after="320"/>
      </w:pPr>
      <w:r>
        <w:rPr>
          <w:rFonts w:ascii="Times New Roman" w:hAnsi="Times New Roman" w:cs="Times New Roman"/>
          <w:sz w:val="32"/>
          <w:sz-cs w:val="32"/>
          <w:spacing w:val="0"/>
        </w:rPr>
        <w:t xml:space="preserve">Manual examination records what is visible through the normal user interface. It can be useful when a device is unlocked and a narrow question must be answered quickly, but it is difficult to reproduce at scale and may not preserve hidden metadata. Logical extraction uses operating-system interfaces, backup mechanisms, or application programming interfaces to collect accessible files and records. It is generally less invasive than deeper methods and may be appropriate when the investigative question is limited. Its weakness is incompleteness: deleted records, protected application stores, system databases, and data outside the exposed interface may be absent.</w:t>
      </w:r>
    </w:p>
    <w:p>
      <w:pPr>
        <w:jc w:val="both"/>
        <w:spacing w:after="320"/>
      </w:pPr>
      <w:r>
        <w:rPr>
          <w:rFonts w:ascii="Times New Roman" w:hAnsi="Times New Roman" w:cs="Times New Roman"/>
          <w:sz w:val="32"/>
          <w:sz-cs w:val="32"/>
          <w:spacing w:val="0"/>
        </w:rPr>
        <w:t xml:space="preserve">Logical results should therefore be described as a representation of accessible data, not as a complete image of the device. The examiner should record the device state, account and pairing conditions, application versions, time zone, extraction settings, and any error messages. A logical extraction that omits encrypted or unsupported content may still be reliable for the artifacts it recovered, but the report must not imply that uncollected content did not exist.</w:t>
      </w:r>
    </w:p>
    <w:p>
      <w:pPr>
        <w:spacing w:after="160"/>
      </w:pPr>
      <w:r>
        <w:rPr>
          <w:rFonts w:ascii="Times New Roman" w:hAnsi="Times New Roman" w:cs="Times New Roman"/>
          <w:sz w:val="32"/>
          <w:sz-cs w:val="32"/>
          <w:b/>
          <w:spacing w:val="0"/>
        </w:rPr>
        <w:t xml:space="preserve">File-system extraction</w:t>
      </w:r>
    </w:p>
    <w:p>
      <w:pPr>
        <w:jc w:val="both"/>
        <w:spacing w:after="320"/>
      </w:pPr>
      <w:r>
        <w:rPr>
          <w:rFonts w:ascii="Times New Roman" w:hAnsi="Times New Roman" w:cs="Times New Roman"/>
          <w:sz w:val="32"/>
          <w:sz-cs w:val="32"/>
          <w:spacing w:val="0"/>
        </w:rPr>
        <w:t xml:space="preserve">File-system extraction seeks a broader view of directories, databases, configuration files, and application data. It may reveal records that are not visible through the user interface, including SQLite tables, journaling information, thumbnails, caches, notification records, and application-specific metadata. Tayeb and Varol (2019) note that Android examinations are complicated by device fragmentation, vendor customizations, different file systems, and changing security controls. File-system access also depends on privilege, boot state, encryption keys, and the security patch level.</w:t>
      </w:r>
    </w:p>
    <w:p>
      <w:pPr>
        <w:jc w:val="both"/>
        <w:spacing w:after="320"/>
      </w:pPr>
      <w:r>
        <w:rPr>
          <w:rFonts w:ascii="Times New Roman" w:hAnsi="Times New Roman" w:cs="Times New Roman"/>
          <w:sz w:val="32"/>
          <w:sz-cs w:val="32"/>
          <w:spacing w:val="0"/>
        </w:rPr>
        <w:t xml:space="preserve">Application artifacts require interpretation rather than simple extraction. A database may contain current, deleted, cached, or synchronized records; a parser may combine tables into a convenient report; and a tool may assign a human-readable label to an internal field. Examiners should preserve the original database or export, document the parser version, and distinguish the raw field from the tool’s interpretation. Where possible, conclusions should be tested against the application’s documented behavior and an independently created test device.</w:t>
      </w:r>
    </w:p>
    <w:p>
      <w:pPr>
        <w:spacing w:after="160"/>
      </w:pPr>
      <w:r>
        <w:rPr>
          <w:rFonts w:ascii="Times New Roman" w:hAnsi="Times New Roman" w:cs="Times New Roman"/>
          <w:sz w:val="32"/>
          <w:sz-cs w:val="32"/>
          <w:b/>
          <w:spacing w:val="0"/>
        </w:rPr>
        <w:t xml:space="preserve">Physical and exploit-assisted extraction</w:t>
      </w:r>
    </w:p>
    <w:p>
      <w:pPr>
        <w:jc w:val="both"/>
        <w:spacing w:after="320"/>
      </w:pPr>
      <w:r>
        <w:rPr>
          <w:rFonts w:ascii="Times New Roman" w:hAnsi="Times New Roman" w:cs="Times New Roman"/>
          <w:sz w:val="32"/>
          <w:sz-cs w:val="32"/>
          <w:spacing w:val="0"/>
        </w:rPr>
        <w:t xml:space="preserve">Physical acquisition attempts to obtain a lower-level representation of storage, while exploit-assisted methods use a vulnerability or privileged service to access protected content. These methods can recover more information than logical extraction, including deleted or unallocated material, but they are not universally available. Secure boot, verified boot, passcode throttling, hardware-backed keystores, encryption, and vendor-specific protections can prevent or limit access. A successful extraction may also be tied to a specific device state and tool version, making repeatability difficult.</w:t>
      </w:r>
    </w:p>
    <w:p>
      <w:pPr>
        <w:jc w:val="both"/>
        <w:spacing w:after="320"/>
      </w:pPr>
      <w:r>
        <w:rPr>
          <w:rFonts w:ascii="Times New Roman" w:hAnsi="Times New Roman" w:cs="Times New Roman"/>
          <w:sz w:val="32"/>
          <w:sz-cs w:val="32"/>
          <w:spacing w:val="0"/>
        </w:rPr>
        <w:t xml:space="preserve">Commercial platforms can be valuable in time-sensitive investigations, but their reports should not be treated as self-authenticating. Sutikno and Busthomi (2024) discuss the capabilities of a widely used commercial extraction platform, while Hassan (2021) identifies broader limitations such as incomplete extraction, proprietary methods, device diversity, and validation difficulty. A defensible examiner records the exact tool version, license or configuration, device model, operating-system build, acquisition mode, test results, errors, and unsupported artifacts. SWGDE (2024) similarly recommends documenting test data, known limitations, repeatability, and reproducibility for forensic software validation. The central question is not whether a tool is popular; it is whether the method was suitable for the particular device and proposition.</w:t>
      </w:r>
    </w:p>
    <w:p>
      <w:pPr>
        <w:spacing w:after="160"/>
      </w:pPr>
      <w:r>
        <w:rPr>
          <w:rFonts w:ascii="Times New Roman" w:hAnsi="Times New Roman" w:cs="Times New Roman"/>
          <w:sz w:val="32"/>
          <w:sz-cs w:val="32"/>
          <w:b/>
          <w:spacing w:val="0"/>
        </w:rPr>
        <w:t xml:space="preserve">Backups, cloud data, and companion devices</w:t>
      </w:r>
    </w:p>
    <w:p>
      <w:pPr>
        <w:jc w:val="both"/>
        <w:spacing w:after="320"/>
      </w:pPr>
      <w:r>
        <w:rPr>
          <w:rFonts w:ascii="Times New Roman" w:hAnsi="Times New Roman" w:cs="Times New Roman"/>
          <w:sz w:val="32"/>
          <w:sz-cs w:val="32"/>
          <w:spacing w:val="0"/>
        </w:rPr>
        <w:t xml:space="preserve">Backups and cloud services are parallel evidence domains. An encrypted local backup may contain application databases or historical material that cannot be obtained directly from a locked handset. iCloud, Google services, messaging platforms, and storage providers may hold synchronized messages, media, account activity, or metadata. Moreb (2022) shows why cloud artifacts must be interpreted with attention to synchronization and provider-specific formats. Sharma et al. (2020) argue that forensic readiness for mobile-cloud applications should include logging, preservation, and evidence availability before an incident occurs.</w:t>
      </w:r>
    </w:p>
    <w:p>
      <w:pPr>
        <w:jc w:val="both"/>
        <w:spacing w:after="320"/>
      </w:pPr>
      <w:r>
        <w:rPr>
          <w:rFonts w:ascii="Times New Roman" w:hAnsi="Times New Roman" w:cs="Times New Roman"/>
          <w:sz w:val="32"/>
          <w:sz-cs w:val="32"/>
          <w:spacing w:val="0"/>
        </w:rPr>
        <w:t xml:space="preserve">Cloud acquisition introduces questions that do not arise in the same way on a single device. Investigators may require lawful process, valid credentials, or cooperation from a provider. Data may be stored in several jurisdictions, retained for different periods, or altered by synchronization after the handset is seized. The examiner should record the collection time, account used, provider interface or export method, time zone, identifiers, and integrity values. A cloud record should be linked to the investigative question without assuming that every synchronized copy was created on the seized device.</w:t>
      </w:r>
    </w:p>
    <w:p>
      <w:pPr>
        <w:jc w:val="center"/>
        <w:spacing w:after="320"/>
      </w:pPr>
      <w:r>
        <w:rPr>
          <w:rFonts w:ascii="Times New Roman" w:hAnsi="Times New Roman" w:cs="Times New Roman"/>
          <w:sz w:val="32"/>
          <w:sz-cs w:val="32"/>
          <w:b/>
          <w:spacing w:val="0"/>
        </w:rPr>
        <w:t xml:space="preserve">Platform-Specific Challenges</w:t>
      </w:r>
    </w:p>
    <w:p>
      <w:pPr>
        <w:spacing w:after="160"/>
      </w:pPr>
      <w:r>
        <w:rPr>
          <w:rFonts w:ascii="Times New Roman" w:hAnsi="Times New Roman" w:cs="Times New Roman"/>
          <w:sz w:val="32"/>
          <w:sz-cs w:val="32"/>
          <w:b/>
          <w:spacing w:val="0"/>
        </w:rPr>
        <w:t xml:space="preserve">Android</w:t>
      </w:r>
    </w:p>
    <w:p>
      <w:pPr>
        <w:jc w:val="both"/>
        <w:spacing w:after="320"/>
      </w:pPr>
      <w:r>
        <w:rPr>
          <w:rFonts w:ascii="Times New Roman" w:hAnsi="Times New Roman" w:cs="Times New Roman"/>
          <w:sz w:val="32"/>
          <w:sz-cs w:val="32"/>
          <w:spacing w:val="0"/>
        </w:rPr>
        <w:t xml:space="preserve">Android offers a large and diverse ecosystem. Manufacturers modify hardware, bootloaders, system applications, security patches, and storage behavior. This diversity creates more acquisition pathways but reduces the likelihood that a method will work consistently across models. Android’s application sandbox, verified boot, permissions model, and hardware-backed key protection limit unauthorized access (Android Open Source Project, n.d.). The examiner must also account for multiple user profiles, work profiles, removable storage, application-specific encryption, and the distinction between data available before and after the first device unlock.</w:t>
      </w:r>
    </w:p>
    <w:p>
      <w:pPr>
        <w:jc w:val="both"/>
        <w:spacing w:after="320"/>
      </w:pPr>
      <w:r>
        <w:rPr>
          <w:rFonts w:ascii="Times New Roman" w:hAnsi="Times New Roman" w:cs="Times New Roman"/>
          <w:sz w:val="32"/>
          <w:sz-cs w:val="32"/>
          <w:spacing w:val="0"/>
        </w:rPr>
        <w:t xml:space="preserve">Android research demonstrates both opportunity and uncertainty. Memory may contain decrypted content, tokens, browser traces, or malware indicators, but acquisition tools can change process state. Bellizzi et al. (2021) proposed just-in-time memory forensics for Android, and Ali-Gombe et al. (2020) explored semantic interpretation of memory artifacts. These approaches are promising for live response but require validation on representative devices. A result recovered from one Android build cannot automatically be generalized to another build with a different kernel, application version, or security patch.</w:t>
      </w:r>
    </w:p>
    <w:p>
      <w:pPr>
        <w:spacing w:after="160"/>
      </w:pPr>
      <w:r>
        <w:rPr>
          <w:rFonts w:ascii="Times New Roman" w:hAnsi="Times New Roman" w:cs="Times New Roman"/>
          <w:sz w:val="32"/>
          <w:sz-cs w:val="32"/>
          <w:b/>
          <w:spacing w:val="0"/>
        </w:rPr>
        <w:t xml:space="preserve">iOS</w:t>
      </w:r>
    </w:p>
    <w:p>
      <w:pPr>
        <w:jc w:val="both"/>
        <w:spacing w:after="320"/>
      </w:pPr>
      <w:r>
        <w:rPr>
          <w:rFonts w:ascii="Times New Roman" w:hAnsi="Times New Roman" w:cs="Times New Roman"/>
          <w:sz w:val="32"/>
          <w:sz-cs w:val="32"/>
          <w:spacing w:val="0"/>
        </w:rPr>
        <w:t xml:space="preserve">iOS is more controlled than Android, but controlled architecture does not make it forensically simple. Apple’s Secure Enclave, data-protection classes, passcode-derived keys, pairing records, encrypted backups, and iCloud security determine what can be accessed and under which conditions (Apple, n.d.). The lock state and first-unlock state are particularly important because keys may become available only after authentication. A powered-off device may protect data more strongly than an unlocked device, while a connected device may remain vulnerable to synchronization or remote wiping.</w:t>
      </w:r>
    </w:p>
    <w:p>
      <w:pPr>
        <w:jc w:val="both"/>
        <w:spacing w:after="320"/>
      </w:pPr>
      <w:r>
        <w:rPr>
          <w:rFonts w:ascii="Times New Roman" w:hAnsi="Times New Roman" w:cs="Times New Roman"/>
          <w:sz w:val="32"/>
          <w:sz-cs w:val="32"/>
          <w:spacing w:val="0"/>
        </w:rPr>
        <w:t xml:space="preserve">iOS investigations therefore require early documentation of power, screen state, network connectivity, radio-isolation measures, pairing status, and the availability of lawful credentials. A forensic decision that is technically convenient may destroy an evidential opportunity. The correct action depends on the investigative objective, legal authority, device state, and risk of remote alteration. No universal rule—such as always turning a phone off or always keeping it connected—can replace a documented risk assessment.</w:t>
      </w:r>
    </w:p>
    <w:p>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b/>
          <w:spacing w:val="0"/>
        </w:rPr>
        <w:t xml:space="preserve">Evidence Preservation, Validation, and Admissibility</w:t>
      </w:r>
    </w:p>
    <w:p>
      <w:pPr>
        <w:spacing w:after="160"/>
      </w:pPr>
      <w:r>
        <w:rPr>
          <w:rFonts w:ascii="Times New Roman" w:hAnsi="Times New Roman" w:cs="Times New Roman"/>
          <w:sz w:val="32"/>
          <w:sz-cs w:val="32"/>
          <w:b/>
          <w:spacing w:val="0"/>
        </w:rPr>
        <w:t xml:space="preserve">Preserving digital state</w:t>
      </w:r>
    </w:p>
    <w:p>
      <w:pPr>
        <w:jc w:val="both"/>
        <w:spacing w:after="320"/>
      </w:pPr>
      <w:r>
        <w:rPr>
          <w:rFonts w:ascii="Times New Roman" w:hAnsi="Times New Roman" w:cs="Times New Roman"/>
          <w:sz w:val="32"/>
          <w:sz-cs w:val="32"/>
          <w:spacing w:val="0"/>
        </w:rPr>
        <w:t xml:space="preserve">Traditional chain of custody records who possessed an item and when. Mobile forensics requires a richer record of digital state. Documentation should include photographs, make and model, serial number and IMEI where available, power and screen state, network and radio state, lock state, isolation method, cables and adapters, workstation, software versions, examiner actions, acquisition attempts, errors, hashes, derived copies, and cloud exports. The record should disclose actions that may have changed the device, including unlocking, connecting a cable, opening an application, changing a setting, or allowing synchronization.</w:t>
      </w:r>
    </w:p>
    <w:p>
      <w:pPr>
        <w:jc w:val="both"/>
        <w:spacing w:after="320"/>
      </w:pPr>
      <w:r>
        <w:rPr>
          <w:rFonts w:ascii="Times New Roman" w:hAnsi="Times New Roman" w:cs="Times New Roman"/>
          <w:sz w:val="32"/>
          <w:sz-cs w:val="32"/>
          <w:spacing w:val="0"/>
        </w:rPr>
        <w:t xml:space="preserve">Hashing supports integrity for acquired files and forensic images, but a hash does not prove that the acquisition method captured everything or interpreted it correctly. ISO/IEC 27037 (ISO, 2012) and SWGDE (2020) emphasize preservation and documentation; ISO/IEC 27042 (ISO, 2015) adds the need to explain analysis and interpretation. The original export should be retained, with working copies used for analysis. Time zones and clock offsets should be recorded because a correct timestamp in the wrong time zone can produce an incorrect timeline.</w:t>
      </w:r>
    </w:p>
    <w:p>
      <w:pPr>
        <w:spacing w:after="160"/>
      </w:pPr>
      <w:r>
        <w:rPr>
          <w:rFonts w:ascii="Times New Roman" w:hAnsi="Times New Roman" w:cs="Times New Roman"/>
          <w:sz w:val="32"/>
          <w:sz-cs w:val="32"/>
          <w:b/>
          <w:spacing w:val="0"/>
        </w:rPr>
        <w:t xml:space="preserve">Tool and method validation</w:t>
      </w:r>
    </w:p>
    <w:p>
      <w:pPr>
        <w:jc w:val="both"/>
        <w:spacing w:after="320"/>
      </w:pPr>
      <w:r>
        <w:rPr>
          <w:rFonts w:ascii="Times New Roman" w:hAnsi="Times New Roman" w:cs="Times New Roman"/>
          <w:sz w:val="32"/>
          <w:sz-cs w:val="32"/>
          <w:spacing w:val="0"/>
        </w:rPr>
        <w:t xml:space="preserve">Validation asks whether a method produces accurate and repeatable results for a defined purpose. It should use known test data, representative devices, documented expectations, and repeat acquisitions. The validation record should identify the tool and version, device model, operating-system build, application versions, configuration, acquisition mode, expected artifacts, recovered artifacts, failures, and limitations. SWGDE guidance recommends reporting suitability, known limitations, repeatability, and reproducibility rather than relying on a general claim that a tool is “forensic.”</w:t>
      </w:r>
    </w:p>
    <w:p>
      <w:pPr>
        <w:jc w:val="both"/>
        <w:spacing w:after="320"/>
      </w:pPr>
      <w:r>
        <w:rPr>
          <w:rFonts w:ascii="Times New Roman" w:hAnsi="Times New Roman" w:cs="Times New Roman"/>
          <w:sz w:val="32"/>
          <w:sz-cs w:val="32"/>
          <w:spacing w:val="0"/>
        </w:rPr>
        <w:t xml:space="preserve">Validation is particularly important when a tool parses proprietary databases or presents automated classifications. The examiner should be able to trace an important conclusion from the report to the underlying file, database record, log, or raw export. If a parser changes between versions, the same evidence may produce a different report. An independent check using a second method, a manual database review, or a controlled test can expose interpretation errors. The objective is not to eliminate all uncertainty, but to make uncertainty visible and manageable.</w:t>
      </w:r>
    </w:p>
    <w:p>
      <w:pPr>
        <w:spacing w:after="160"/>
      </w:pPr>
      <w:r>
        <w:rPr>
          <w:rFonts w:ascii="Times New Roman" w:hAnsi="Times New Roman" w:cs="Times New Roman"/>
          <w:sz w:val="32"/>
          <w:sz-cs w:val="32"/>
          <w:b/>
          <w:spacing w:val="0"/>
        </w:rPr>
        <w:t xml:space="preserve">Admissibility and reporting</w:t>
      </w:r>
    </w:p>
    <w:p>
      <w:pPr>
        <w:jc w:val="both"/>
        <w:spacing w:after="320"/>
      </w:pPr>
      <w:r>
        <w:rPr>
          <w:rFonts w:ascii="Times New Roman" w:hAnsi="Times New Roman" w:cs="Times New Roman"/>
          <w:sz w:val="32"/>
          <w:sz-cs w:val="32"/>
          <w:spacing w:val="0"/>
        </w:rPr>
        <w:t xml:space="preserve">Admissibility rules vary across jurisdictions, but the recurring requirements are relevance, authenticity, integrity, lawful collection, reliable methods, competent examination, and transparent limitations. ISO/IEC 27041 and 27043 (ISO, 2015a, 2015b) provide useful principles for method suitability and incident-investigation processes. A report should identify what was collected, how it was collected, what was observed, how it was interpreted, and what cannot be concluded. It should separate a raw observation from an inference and an inference from an attribution.</w:t>
      </w:r>
    </w:p>
    <w:p>
      <w:pPr>
        <w:jc w:val="both"/>
        <w:spacing w:after="320"/>
      </w:pPr>
      <w:r>
        <w:rPr>
          <w:rFonts w:ascii="Times New Roman" w:hAnsi="Times New Roman" w:cs="Times New Roman"/>
          <w:sz w:val="32"/>
          <w:sz-cs w:val="32"/>
          <w:spacing w:val="0"/>
        </w:rPr>
        <w:t xml:space="preserve">For example, a recovered application record may support the conclusion that a particular account contained a message at a recorded time. It may not, without additional evidence, prove who physically operated the phone, who authored the message, or that the displayed time represents the time of composition. Clear reporting is a strength rather than a weakness. Courts and decision-makers are more likely to trust an examiner who identifies failed attempts, unsupported artifacts, alternative explanations, and the boundaries of the method.</w:t>
      </w:r>
    </w:p>
    <w:p>
      <w:pPr>
        <w:jc w:val="center"/>
        <w:spacing w:after="320"/>
      </w:pPr>
      <w:r>
        <w:rPr>
          <w:rFonts w:ascii="Times New Roman" w:hAnsi="Times New Roman" w:cs="Times New Roman"/>
          <w:sz w:val="32"/>
          <w:sz-cs w:val="32"/>
          <w:b/>
          <w:spacing w:val="0"/>
        </w:rPr>
        <w:t xml:space="preserve">c) Incident Management and Mobile Forensics</w:t>
      </w:r>
    </w:p>
    <w:p>
      <w:pPr>
        <w:jc w:val="both"/>
        <w:spacing w:after="320"/>
      </w:pPr>
      <w:r>
        <w:rPr>
          <w:rFonts w:ascii="Times New Roman" w:hAnsi="Times New Roman" w:cs="Times New Roman"/>
          <w:sz w:val="32"/>
          <w:sz-cs w:val="32"/>
          <w:spacing w:val="0"/>
        </w:rPr>
        <w:t xml:space="preserve">Mobile forensics is most effective when it is planned before an incident rather than improvised after evidence has disappeared. NIST’s incident-response guidance treats forensic work as part of a wider process in which preparation, detection, containment, eradication, recovery, and lessons learned inform one another (NIST, 2006). In a mobile-related breach, preparation may include preserving mobile-device inventories, identifying business-critical applications, defining lawful collection authority, configuring retention, and establishing contacts for cloud providers and forensic laboratories. These measures reduce the time between detection and preservation.</w:t>
      </w:r>
    </w:p>
    <w:p>
      <w:pPr>
        <w:jc w:val="both"/>
        <w:spacing w:after="320"/>
      </w:pPr>
      <w:r>
        <w:rPr>
          <w:rFonts w:ascii="Times New Roman" w:hAnsi="Times New Roman" w:cs="Times New Roman"/>
          <w:sz w:val="32"/>
          <w:sz-cs w:val="32"/>
          <w:spacing w:val="0"/>
        </w:rPr>
        <w:t xml:space="preserve">During detection and analysis, responders should first identify whether a phone is a victim endpoint, an attacker-controlled device, a second-factor device, or a source of evidence about another system. That classification affects urgency and scope. A corporate phone suspected of malware may need network containment, memory capture, and account-token revocation. A victim’s phone may require preservation of messages and authentication records without altering the user’s personal data. A seized phone in a criminal investigation may require isolation from networks while maintaining the state needed for lawful acquisition. The same technical action can have different consequences in each scenario.</w:t>
      </w:r>
    </w:p>
    <w:p>
      <w:pPr>
        <w:jc w:val="both"/>
        <w:spacing w:after="320"/>
      </w:pPr>
      <w:r>
        <w:rPr>
          <w:rFonts w:ascii="Times New Roman" w:hAnsi="Times New Roman" w:cs="Times New Roman"/>
          <w:sz w:val="32"/>
          <w:sz-cs w:val="32"/>
          <w:spacing w:val="0"/>
        </w:rPr>
        <w:t xml:space="preserve">Containment can conflict with preservation. Disconnecting a device may prevent remote wiping but can also interrupt a live command-and-control connection or remove access to cloud-synchronized records. Keeping it connected may preserve live context but permit an attacker, an application, or a provider to change data. The response plan should therefore record the reason for each decision, the alternatives considered, and the expected effect on evidence. ISO/IEC 27043 (ISO, 2015c) is useful here because it frames investigation as a sequence of readiness, incident handling, examination, analysis, and reporting rather than as an isolated laboratory procedure.</w:t>
      </w:r>
    </w:p>
    <w:p>
      <w:pPr>
        <w:jc w:val="both"/>
        <w:spacing w:after="320"/>
      </w:pPr>
      <w:r>
        <w:rPr>
          <w:rFonts w:ascii="Times New Roman" w:hAnsi="Times New Roman" w:cs="Times New Roman"/>
          <w:sz w:val="32"/>
          <w:sz-cs w:val="32"/>
          <w:spacing w:val="0"/>
        </w:rPr>
        <w:t xml:space="preserve">Lessons learned should be converted into forensic-readiness improvements. If a provider export was incomplete, the organization can revise logging or retention requirements. If an application stored important data only in a volatile cache, developers can be asked to implement defensible audit records. If a tool failed on a specific device model, the laboratory can add that model to its validation set. Joshi and Chillarge (2020) highlight the importance of secure logging for cloud forensics, while Sharma et al. (2020) connect mobile-cloud readiness with the availability and preservation of evidence. These ideas show that incident management and forensic examination are mutually reinforcing: better preparation improves the quality of later evidence, and forensic findings expose weaknesses in preparation.</w:t>
      </w:r>
    </w:p>
    <w:p>
      <w:pPr>
        <w:jc w:val="both"/>
        <w:spacing w:after="320"/>
      </w:pPr>
      <w:r>
        <w:rPr>
          <w:rFonts w:ascii="Times New Roman" w:hAnsi="Times New Roman" w:cs="Times New Roman"/>
          <w:sz w:val="32"/>
          <w:sz-cs w:val="32"/>
          <w:spacing w:val="0"/>
        </w:rPr>
        <w:t xml:space="preserve">Mobile investigations also benefit from a clearly defined escalation matrix. A first responder can photograph the device, document its state, prevent unauthorized access, and notify the forensic lead. A trained examiner can select and validate an acquisition method. A legal or privacy officer can confirm scope, privilege handling, and cross-border requirements. A cloud specialist can preserve provider records and account logs. Separating these responsibilities reduces accidental changes to evidence and prevents a tool operator from making unsupported legal or attribution conclusions. It also makes the final report easier to review because each action has an identified purpose and responsible person.</w:t>
      </w:r>
    </w:p>
    <w:p>
      <w:pPr>
        <w:spacing w:after="160"/>
      </w:pPr>
      <w:r>
        <w:rPr>
          <w:rFonts w:ascii="Times New Roman" w:hAnsi="Times New Roman" w:cs="Times New Roman"/>
          <w:sz w:val="32"/>
          <w:sz-cs w:val="32"/>
          <w:b/>
          <w:spacing w:val="0"/>
        </w:rPr>
        <w:t xml:space="preserve">Illustrative incident-management case study</w:t>
      </w:r>
    </w:p>
    <w:p>
      <w:pPr>
        <w:jc w:val="both"/>
        <w:spacing w:after="320"/>
      </w:pPr>
      <w:r>
        <w:rPr>
          <w:rFonts w:ascii="Times New Roman" w:hAnsi="Times New Roman" w:cs="Times New Roman"/>
          <w:sz w:val="32"/>
          <w:sz-cs w:val="32"/>
          <w:spacing w:val="0"/>
        </w:rPr>
        <w:t xml:space="preserve">The WannaCry outbreak illustrates why incident management and forensic readiness must operate together. The incident spread rapidly by exploiting a known vulnerability, disrupted organizations that depended on unavailable systems, and required simultaneous detection, containment, recovery, and analysis. In a comparable mobile-related incident, responders should not wait until eradication to preserve evidence from authentication phones, administrator devices, messaging applications, and cloud accounts. The first operational priority would be to identify affected identities and devices, isolate compromised endpoints where necessary, preserve volatile state when it can answer the investigative question, and revoke or rotate tokens in a controlled manner. The forensic priority would be to record device state and obtain validated exports before accounts are reset or synchronized data changes. The recovery priority would be to restore services from known-good systems while retaining logs and lessons learned. NIST’s incident-response and forensic guidance supports this integration by treating preparation, collection, examination, analysis, and reporting as connected activities (NIST, 2006, 2014).</w:t>
      </w:r>
    </w:p>
    <w:p>
      <w:pPr>
        <w:jc w:val="both"/>
        <w:spacing w:after="320"/>
      </w:pPr>
      <w:r>
        <w:rPr>
          <w:rFonts w:ascii="Times New Roman" w:hAnsi="Times New Roman" w:cs="Times New Roman"/>
          <w:sz w:val="32"/>
          <w:sz-cs w:val="32"/>
          <w:spacing w:val="0"/>
        </w:rPr>
        <w:t xml:space="preserve">Finally, mobile evidence should be integrated with other sources instead of being interpreted in isolation. Endpoint logs, identity-provider records, email headers, network telemetry, CCTV, witness accounts, and provider records can confirm or challenge a mobile artifact. Correlation is valuable, but it must not become circular reasoning: a cloud record should not be treated as independent confirmation if it was generated from the same handset event. A strong incident-management process records source dependencies and alternative explanations, enabling investigators to distinguish corroboration from duplication.</w:t>
      </w:r>
    </w:p>
    <w:p>
      <w:pPr>
        <w:jc w:val="center"/>
        <w:spacing w:after="320"/>
      </w:pPr>
      <w:r>
        <w:rPr>
          <w:rFonts w:ascii="Times New Roman" w:hAnsi="Times New Roman" w:cs="Times New Roman"/>
          <w:sz w:val="32"/>
          <w:sz-cs w:val="32"/>
          <w:b/>
          <w:spacing w:val="0"/>
        </w:rPr>
        <w:t xml:space="preserve">Privacy, Ethics, and Proportionality</w:t>
      </w:r>
    </w:p>
    <w:p>
      <w:pPr>
        <w:jc w:val="both"/>
        <w:spacing w:after="320"/>
      </w:pPr>
      <w:r>
        <w:rPr>
          <w:rFonts w:ascii="Times New Roman" w:hAnsi="Times New Roman" w:cs="Times New Roman"/>
          <w:sz w:val="32"/>
          <w:sz-cs w:val="32"/>
          <w:spacing w:val="0"/>
        </w:rPr>
        <w:t xml:space="preserve">A phone contains intimate information about the owner and about people who never consented to examination. Contacts, family photographs, health data, private conversations, location trails, and work documents may all be collected together. A technically possible extraction is not automatically an ethically or legally justified extraction. Investigators should define the question, obtain appropriate authority, use targeted collection where feasible, segregate privileged or irrelevant material, and establish retention and deletion controls.</w:t>
      </w:r>
    </w:p>
    <w:p>
      <w:pPr>
        <w:jc w:val="both"/>
        <w:spacing w:after="320"/>
      </w:pPr>
      <w:r>
        <w:rPr>
          <w:rFonts w:ascii="Times New Roman" w:hAnsi="Times New Roman" w:cs="Times New Roman"/>
          <w:sz w:val="32"/>
          <w:sz-cs w:val="32"/>
          <w:spacing w:val="0"/>
        </w:rPr>
        <w:t xml:space="preserve">Privacy is also an accuracy issue. Unrelated data can create misleading associations, and automated tools may infer relationships or behavior from incomplete records. A proportionate examination reduces both privacy intrusion and analytical noise. In organizational investigations, the same principles apply to employee-owned phones, bring-your-own-device systems, and devices that contain both personal and corporate accounts. Examiners should document the scope and filtering rules so that another reviewer can understand what was excluded and why.</w:t>
      </w:r>
    </w:p>
    <w:p>
      <w:pPr>
        <w:jc w:val="center"/>
        <w:spacing w:after="320"/>
      </w:pPr>
      <w:r>
        <w:rPr>
          <w:rFonts w:ascii="Times New Roman" w:hAnsi="Times New Roman" w:cs="Times New Roman"/>
          <w:sz w:val="32"/>
          <w:sz-cs w:val="32"/>
          <w:b/>
          <w:spacing w:val="0"/>
        </w:rPr>
        <w:t xml:space="preserve">Critical Analysis (Digital Forensics): Maximal Extraction Compared with Targeted, Validated Extraction</w:t>
      </w:r>
    </w:p>
    <w:p>
      <w:pPr>
        <w:jc w:val="both"/>
        <w:spacing w:after="320"/>
      </w:pPr>
      <w:r>
        <w:rPr>
          <w:rFonts w:ascii="Times New Roman" w:hAnsi="Times New Roman" w:cs="Times New Roman"/>
          <w:sz w:val="32"/>
          <w:sz-cs w:val="32"/>
          <w:spacing w:val="0"/>
        </w:rPr>
        <w:t xml:space="preserve">The literature presents two broad approaches. The first is a maximal-extraction approach: collect as much data as possible from the handset, backups, cloud services, and companion devices, then search the combined dataset. Its attraction is obvious. Investigators may discover unexpected connections, recover deleted material, and avoid returning to a device after a missed opportunity. Commercial tools and increasingly automated analytics make this approach operationally feasible in some cases.</w:t>
      </w:r>
    </w:p>
    <w:p>
      <w:pPr>
        <w:jc w:val="both"/>
        <w:spacing w:after="320"/>
      </w:pPr>
      <w:r>
        <w:rPr>
          <w:rFonts w:ascii="Times New Roman" w:hAnsi="Times New Roman" w:cs="Times New Roman"/>
          <w:sz w:val="32"/>
          <w:sz-cs w:val="32"/>
          <w:spacing w:val="0"/>
        </w:rPr>
        <w:t xml:space="preserve">However, maximal extraction has significant weaknesses. It increases privacy exposure, creates large volumes of irrelevant information, and can make chain-of-custody and provenance more difficult to explain. It may encourage the assumption that a more complete extraction is necessarily a more accurate investigation. In reality, a large dataset can contain synchronized duplicates, stale caches, application-generated timestamps, and tool-created interpretations. If the collection is not validated, scale can conceal rather than solve reliability problems.</w:t>
      </w:r>
    </w:p>
    <w:p>
      <w:pPr>
        <w:jc w:val="both"/>
        <w:spacing w:after="320"/>
      </w:pPr>
      <w:r>
        <w:rPr>
          <w:rFonts w:ascii="Times New Roman" w:hAnsi="Times New Roman" w:cs="Times New Roman"/>
          <w:sz w:val="32"/>
          <w:sz-cs w:val="32"/>
          <w:spacing w:val="0"/>
        </w:rPr>
        <w:t xml:space="preserve">The second approach is targeted, validated extraction. It begins with an investigative proposition, preserves the device state, selects the least intrusive method likely to answer the question, and escalates only when justified. It treats handset, memory, backup, cloud, and companion-device evidence as related but distinct sources. It requires validation for the device and artifact under examination, keeps original exports, records limitations, and uses independent checks for important findings. Its main disadvantage is that it can miss evidence when the initial question is too narrow or when the relevant artifact is not yet known.</w:t>
      </w:r>
    </w:p>
    <w:p>
      <w:pPr>
        <w:jc w:val="both"/>
        <w:spacing w:after="320"/>
      </w:pPr>
      <w:r>
        <w:rPr>
          <w:rFonts w:ascii="Times New Roman" w:hAnsi="Times New Roman" w:cs="Times New Roman"/>
          <w:sz w:val="32"/>
          <w:sz-cs w:val="32"/>
          <w:spacing w:val="0"/>
        </w:rPr>
        <w:t xml:space="preserve">Neither approach is sufficient in every case. A missing-person investigation may justify rapid preservation of location and communication data, while a workplace inquiry may require strict minimization. A live malware incident may require volatile memory before shutdown, whereas a powered-off seized device may require preservation against remote access. The defensible position supported by the literature is therefore conditional escalation: define the question and legal scope, preserve the state, begin with a validated and proportionate method, and escalate when the evidential value justifies the additional privacy, technical, and integrity risks.</w:t>
      </w:r>
    </w:p>
    <w:p>
      <w:pPr>
        <w:jc w:val="both"/>
        <w:spacing w:after="320"/>
      </w:pPr>
      <w:r>
        <w:rPr>
          <w:rFonts w:ascii="Times New Roman" w:hAnsi="Times New Roman" w:cs="Times New Roman"/>
          <w:sz w:val="32"/>
          <w:sz-cs w:val="32"/>
          <w:spacing w:val="0"/>
        </w:rPr>
        <w:t xml:space="preserve">Current research gaps reinforce this conclusion. There is no universally representative corpus covering modern Android and iOS versions, application updates, encrypted backups, cloud synchronization, and realistic user behavior. Memory-acquisition studies show promising results but limited cross-device reproducibility. Tool comparisons often evaluate a small number of devices or rely on vendor-specific test cases. AI research emphasizes classification and triage, but evidence of generalization, explainability, adversarial robustness, and courtroom reliability remains limited. Blockchain-like provenance can strengthen tamper evidence, but it cannot repair an inaccurate extraction or establish the truth of a source record. Cross-domain reviews also caution that mobile, network, and cloud evidence increasingly overlap, making isolated tool evaluations less representative of actual investigations (Khan et al., 2025).</w:t>
      </w:r>
    </w:p>
    <w:p>
      <w:pPr>
        <w:jc w:val="both"/>
        <w:spacing w:after="320"/>
      </w:pPr>
      <w:r>
        <w:rPr>
          <w:rFonts w:ascii="Times New Roman" w:hAnsi="Times New Roman" w:cs="Times New Roman"/>
          <w:sz w:val="32"/>
          <w:sz-cs w:val="32"/>
          <w:spacing w:val="0"/>
        </w:rPr>
        <w:t xml:space="preserve">Future work should combine technical and governance research. First, researchers need shared, ethically created test corpora that represent different devices, operating systems, languages, applications, and security states. Second, tool evaluations should publish expected artifacts, failures, and version-specific limitations instead of reporting only successful recovery. Third, memory-forensics methods require standardized measures of alteration, repeatability, and evidential uncertainty. Fourth, cloud providers and application developers should support forensic readiness through stable export formats, provenance metadata, and transparent retention policies. Finally, AI systems should be restricted to auditable decision support unless their training data, performance, uncertainty, and human-review process are demonstrably adequate.</w:t>
      </w:r>
    </w:p>
    <w:p>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b/>
          <w:spacing w:val="0"/>
        </w:rPr>
        <w:t xml:space="preserve">Conclusion</w:t>
      </w:r>
    </w:p>
    <w:p>
      <w:pPr>
        <w:jc w:val="both"/>
        <w:spacing w:after="320"/>
      </w:pPr>
      <w:r>
        <w:rPr>
          <w:rFonts w:ascii="Times New Roman" w:hAnsi="Times New Roman" w:cs="Times New Roman"/>
          <w:sz w:val="32"/>
          <w:sz-cs w:val="32"/>
          <w:spacing w:val="0"/>
        </w:rPr>
        <w:t xml:space="preserve">Mobile-device forensics has become essential to cybercrime investigation because phones connect people, accounts, places, communications, and cloud services. The literature shows that evidence extraction is layered and conditional. Logical extraction is comparatively accessible but incomplete; file-system and physical methods can provide richer artifacts but depend on privilege, encryption, device state, and vendor security; memory acquisition may reveal valuable volatile evidence but remains fragile; and cloud or backup evidence can supplement the handset while creating provenance, legal, and synchronization challenges.</w:t>
      </w:r>
    </w:p>
    <w:p>
      <w:pPr>
        <w:jc w:val="both"/>
        <w:spacing w:after="320"/>
      </w:pPr>
      <w:r>
        <w:rPr>
          <w:rFonts w:ascii="Times New Roman" w:hAnsi="Times New Roman" w:cs="Times New Roman"/>
          <w:sz w:val="32"/>
          <w:sz-cs w:val="32"/>
          <w:spacing w:val="0"/>
        </w:rPr>
        <w:t xml:space="preserve">The most important finding is that reliability does not come from extraction depth alone. It comes from preserving digital state, choosing a method suitable for the investigative question, validating tools and parsers, maintaining a detailed chain of custody, hashing and retaining original outputs, and explaining limitations. Android fragmentation and iOS hardware-backed protections require different investigative models, but both platforms demand careful attention to authentication state, encryption, application behavior, and changing software versions.</w:t>
      </w:r>
    </w:p>
    <w:p>
      <w:pPr>
        <w:jc w:val="both"/>
        <w:spacing w:after="320"/>
      </w:pPr>
      <w:r>
        <w:rPr>
          <w:rFonts w:ascii="Times New Roman" w:hAnsi="Times New Roman" w:cs="Times New Roman"/>
          <w:sz w:val="32"/>
          <w:sz-cs w:val="32"/>
          <w:spacing w:val="0"/>
        </w:rPr>
        <w:t xml:space="preserve">Mobile investigations should also be proportionate. A phone can contain the private lives of many people, and the ability to collect data does not establish the authority or need to examine it. Targeted acquisition, filtering, segregation, and transparent retention practices protect both rights and evidential quality. Artificial intelligence can reduce triage time and reveal patterns, but it should remain explainable, validated, and subject to human review. The field’s future depends on reproducible cross-platform research, privacy-preserving methods, dependable volatile-memory techniques, cloud forensic readiness, and reports that make uncertainty visible instead of hiding it behind a tool-generated result.</w:t>
      </w:r>
    </w:p>
    <w:p>
      <w:pPr/>
      <w:r>
        <w:rPr>
          <w:rFonts w:ascii="Times New Roman" w:hAnsi="Times New Roman" w:cs="Times New Roman"/>
          <w:sz w:val="32"/>
          <w:sz-cs w:val="32"/>
          <w:spacing w:val="0"/>
        </w:rPr>
        <w:t xml:space="preserve"/>
      </w:r>
    </w:p>
    <w:p>
      <w:pPr>
        <w:jc w:val="center"/>
        <w:spacing w:after="320"/>
      </w:pPr>
      <w:r>
        <w:rPr>
          <w:rFonts w:ascii="Times New Roman" w:hAnsi="Times New Roman" w:cs="Times New Roman"/>
          <w:sz w:val="32"/>
          <w:sz-cs w:val="32"/>
          <w:b/>
          <w:spacing w:val="0"/>
        </w:rPr>
        <w:t xml:space="preserve">References</w:t>
      </w:r>
    </w:p>
    <w:p>
      <w:pPr>
        <w:ind w:left="960" w:first-line="-960"/>
        <w:spacing w:after="320"/>
      </w:pPr>
      <w:r>
        <w:rPr>
          <w:rFonts w:ascii="Times New Roman" w:hAnsi="Times New Roman" w:cs="Times New Roman"/>
          <w:sz w:val="32"/>
          <w:sz-cs w:val="32"/>
          <w:spacing w:val="0"/>
        </w:rPr>
        <w:t xml:space="preserve">Ali-Gombe, A., Tambaoan, A., Gurfolino, A., &amp; Richard III, G. G. (2020). App-agnostic post-execution semantic analysis of Android in-memory forensics artifacts. </w:t>
      </w:r>
      <w:r>
        <w:rPr>
          <w:rFonts w:ascii="Times New Roman" w:hAnsi="Times New Roman" w:cs="Times New Roman"/>
          <w:sz w:val="32"/>
          <w:sz-cs w:val="32"/>
          <w:i/>
          <w:spacing w:val="0"/>
        </w:rPr>
        <w:t xml:space="preserve">Proceedings of the 36th Annual Computer Security Applications Conference</w:t>
      </w:r>
      <w:r>
        <w:rPr>
          <w:rFonts w:ascii="Times New Roman" w:hAnsi="Times New Roman" w:cs="Times New Roman"/>
          <w:sz w:val="32"/>
          <w:sz-cs w:val="32"/>
          <w:spacing w:val="0"/>
        </w:rPr>
        <w:t xml:space="preserve">. https://doi.org/10.1145/3427228.3427244</w:t>
      </w:r>
    </w:p>
    <w:p>
      <w:pPr>
        <w:ind w:left="960" w:first-line="-960"/>
        <w:spacing w:after="320"/>
      </w:pPr>
      <w:r>
        <w:rPr>
          <w:rFonts w:ascii="Times New Roman" w:hAnsi="Times New Roman" w:cs="Times New Roman"/>
          <w:sz w:val="32"/>
          <w:sz-cs w:val="32"/>
          <w:spacing w:val="0"/>
        </w:rPr>
        <w:t xml:space="preserve">Android Open Source Project. (n.d.). </w:t>
      </w:r>
      <w:r>
        <w:rPr>
          <w:rFonts w:ascii="Times New Roman" w:hAnsi="Times New Roman" w:cs="Times New Roman"/>
          <w:sz w:val="32"/>
          <w:sz-cs w:val="32"/>
          <w:i/>
          <w:spacing w:val="0"/>
        </w:rPr>
        <w:t xml:space="preserve">Android security overview</w:t>
      </w:r>
      <w:r>
        <w:rPr>
          <w:rFonts w:ascii="Times New Roman" w:hAnsi="Times New Roman" w:cs="Times New Roman"/>
          <w:sz w:val="32"/>
          <w:sz-cs w:val="32"/>
          <w:spacing w:val="0"/>
        </w:rPr>
        <w:t xml:space="preserve">. Retrieved October 6, 2026, from https://source.android.com/docs/security/overview</w:t>
      </w:r>
    </w:p>
    <w:p>
      <w:pPr>
        <w:ind w:left="960" w:first-line="-960"/>
        <w:spacing w:after="320"/>
      </w:pPr>
      <w:r>
        <w:rPr>
          <w:rFonts w:ascii="Times New Roman" w:hAnsi="Times New Roman" w:cs="Times New Roman"/>
          <w:sz w:val="32"/>
          <w:sz-cs w:val="32"/>
          <w:spacing w:val="0"/>
        </w:rPr>
        <w:t xml:space="preserve">Apple. (n.d.). </w:t>
      </w:r>
      <w:r>
        <w:rPr>
          <w:rFonts w:ascii="Times New Roman" w:hAnsi="Times New Roman" w:cs="Times New Roman"/>
          <w:sz w:val="32"/>
          <w:sz-cs w:val="32"/>
          <w:i/>
          <w:spacing w:val="0"/>
        </w:rPr>
        <w:t xml:space="preserve">Apple platform security</w:t>
      </w:r>
      <w:r>
        <w:rPr>
          <w:rFonts w:ascii="Times New Roman" w:hAnsi="Times New Roman" w:cs="Times New Roman"/>
          <w:sz w:val="32"/>
          <w:sz-cs w:val="32"/>
          <w:spacing w:val="0"/>
        </w:rPr>
        <w:t xml:space="preserve">. Retrieved October 6, 2026, from https://support.apple.com/guide/security/welcome/web</w:t>
      </w:r>
    </w:p>
    <w:p>
      <w:pPr>
        <w:ind w:left="960" w:first-line="-960"/>
        <w:spacing w:after="320"/>
      </w:pPr>
      <w:r>
        <w:rPr>
          <w:rFonts w:ascii="Times New Roman" w:hAnsi="Times New Roman" w:cs="Times New Roman"/>
          <w:sz w:val="32"/>
          <w:sz-cs w:val="32"/>
          <w:spacing w:val="0"/>
        </w:rPr>
        <w:t xml:space="preserve">Bellizzi, J., Vella, M., Colombo, C., &amp; Hernandez-Castro, J. (2021). Responding to living-off-the-land tactics using just-in-time memory forensics for Android. </w:t>
      </w:r>
      <w:r>
        <w:rPr>
          <w:rFonts w:ascii="Times New Roman" w:hAnsi="Times New Roman" w:cs="Times New Roman"/>
          <w:sz w:val="32"/>
          <w:sz-cs w:val="32"/>
          <w:i/>
          <w:spacing w:val="0"/>
        </w:rPr>
        <w:t xml:space="preserve">Proceedings of the 18th International Conference on Security and Cryptography</w:t>
      </w:r>
      <w:r>
        <w:rPr>
          <w:rFonts w:ascii="Times New Roman" w:hAnsi="Times New Roman" w:cs="Times New Roman"/>
          <w:sz w:val="32"/>
          <w:sz-cs w:val="32"/>
          <w:spacing w:val="0"/>
        </w:rPr>
        <w:t xml:space="preserve">. https://doi.org/10.5220/0010603603560369</w:t>
      </w:r>
    </w:p>
    <w:p>
      <w:pPr>
        <w:ind w:left="960" w:first-line="-960"/>
        <w:spacing w:after="320"/>
      </w:pPr>
      <w:r>
        <w:rPr>
          <w:rFonts w:ascii="Times New Roman" w:hAnsi="Times New Roman" w:cs="Times New Roman"/>
          <w:sz w:val="32"/>
          <w:sz-cs w:val="32"/>
          <w:spacing w:val="0"/>
        </w:rPr>
        <w:t xml:space="preserve">Easttom, C. (2021). </w:t>
      </w:r>
      <w:r>
        <w:rPr>
          <w:rFonts w:ascii="Times New Roman" w:hAnsi="Times New Roman" w:cs="Times New Roman"/>
          <w:sz w:val="32"/>
          <w:sz-cs w:val="32"/>
          <w:i/>
          <w:spacing w:val="0"/>
        </w:rPr>
        <w:t xml:space="preserve">An in-depth guide to mobile device forensics</w:t>
      </w:r>
      <w:r>
        <w:rPr>
          <w:rFonts w:ascii="Times New Roman" w:hAnsi="Times New Roman" w:cs="Times New Roman"/>
          <w:sz w:val="32"/>
          <w:sz-cs w:val="32"/>
          <w:spacing w:val="0"/>
        </w:rPr>
        <w:t xml:space="preserve">. CRC Press. https://doi.org/10.1201/9781003118718</w:t>
      </w:r>
    </w:p>
    <w:p>
      <w:pPr>
        <w:ind w:left="960" w:first-line="-960"/>
        <w:spacing w:after="320"/>
      </w:pPr>
      <w:r>
        <w:rPr>
          <w:rFonts w:ascii="Times New Roman" w:hAnsi="Times New Roman" w:cs="Times New Roman"/>
          <w:sz w:val="32"/>
          <w:sz-cs w:val="32"/>
          <w:spacing w:val="0"/>
        </w:rPr>
        <w:t xml:space="preserve">Federal Bureau of Investigation. (2025). </w:t>
      </w:r>
      <w:r>
        <w:rPr>
          <w:rFonts w:ascii="Times New Roman" w:hAnsi="Times New Roman" w:cs="Times New Roman"/>
          <w:sz w:val="32"/>
          <w:sz-cs w:val="32"/>
          <w:i/>
          <w:spacing w:val="0"/>
        </w:rPr>
        <w:t xml:space="preserve">2024 Internet crime report</w:t>
      </w:r>
      <w:r>
        <w:rPr>
          <w:rFonts w:ascii="Times New Roman" w:hAnsi="Times New Roman" w:cs="Times New Roman"/>
          <w:sz w:val="32"/>
          <w:sz-cs w:val="32"/>
          <w:spacing w:val="0"/>
        </w:rPr>
        <w:t xml:space="preserve">. Internet Crime Complaint Center. https://www.ic3.gov/AnnualReport/Reports/2024_IC3Report.pdf</w:t>
      </w:r>
    </w:p>
    <w:p>
      <w:pPr>
        <w:ind w:left="960" w:first-line="-960"/>
        <w:spacing w:after="320"/>
      </w:pPr>
      <w:r>
        <w:rPr>
          <w:rFonts w:ascii="Times New Roman" w:hAnsi="Times New Roman" w:cs="Times New Roman"/>
          <w:sz w:val="32"/>
          <w:sz-cs w:val="32"/>
          <w:spacing w:val="0"/>
        </w:rPr>
        <w:t xml:space="preserve">Hassan, M. (2021). Forensics on a mobile device, tools and limitations. </w:t>
      </w:r>
      <w:r>
        <w:rPr>
          <w:rFonts w:ascii="Times New Roman" w:hAnsi="Times New Roman" w:cs="Times New Roman"/>
          <w:sz w:val="32"/>
          <w:sz-cs w:val="32"/>
          <w:i/>
          <w:spacing w:val="0"/>
        </w:rPr>
        <w:t xml:space="preserve">International Journal of Forensic Sciences, 6</w:t>
      </w:r>
      <w:r>
        <w:rPr>
          <w:rFonts w:ascii="Times New Roman" w:hAnsi="Times New Roman" w:cs="Times New Roman"/>
          <w:sz w:val="32"/>
          <w:sz-cs w:val="32"/>
          <w:spacing w:val="0"/>
        </w:rPr>
        <w:t xml:space="preserve">(3). https://doi.org/10.23880/ijfsc-16000240</w:t>
      </w:r>
    </w:p>
    <w:p>
      <w:pPr>
        <w:ind w:left="960" w:first-line="-960"/>
        <w:spacing w:after="320"/>
      </w:pPr>
      <w:r>
        <w:rPr>
          <w:rFonts w:ascii="Times New Roman" w:hAnsi="Times New Roman" w:cs="Times New Roman"/>
          <w:sz w:val="32"/>
          <w:sz-cs w:val="32"/>
          <w:spacing w:val="0"/>
        </w:rPr>
        <w:t xml:space="preserve">Hrenak, A. (2021). Mobile device forensics. In </w:t>
      </w:r>
      <w:r>
        <w:rPr>
          <w:rFonts w:ascii="Times New Roman" w:hAnsi="Times New Roman" w:cs="Times New Roman"/>
          <w:sz w:val="32"/>
          <w:sz-cs w:val="32"/>
          <w:i/>
          <w:spacing w:val="0"/>
        </w:rPr>
        <w:t xml:space="preserve">Cyber forensics</w:t>
      </w:r>
      <w:r>
        <w:rPr>
          <w:rFonts w:ascii="Times New Roman" w:hAnsi="Times New Roman" w:cs="Times New Roman"/>
          <w:sz w:val="32"/>
          <w:sz-cs w:val="32"/>
          <w:spacing w:val="0"/>
        </w:rPr>
        <w:t xml:space="preserve"> (pp. 291–322). CRC Press. https://doi.org/10.1201/9781003057888-8</w:t>
      </w:r>
    </w:p>
    <w:p>
      <w:pPr>
        <w:ind w:left="960" w:first-line="-960"/>
        <w:spacing w:after="320"/>
      </w:pPr>
      <w:r>
        <w:rPr>
          <w:rFonts w:ascii="Times New Roman" w:hAnsi="Times New Roman" w:cs="Times New Roman"/>
          <w:sz w:val="32"/>
          <w:sz-cs w:val="32"/>
          <w:spacing w:val="0"/>
        </w:rPr>
        <w:t xml:space="preserve">Joshi, S. N., &amp; Chillarge, G. R. (2020). Secure log scheme for cloud forensics. In </w:t>
      </w:r>
      <w:r>
        <w:rPr>
          <w:rFonts w:ascii="Times New Roman" w:hAnsi="Times New Roman" w:cs="Times New Roman"/>
          <w:sz w:val="32"/>
          <w:sz-cs w:val="32"/>
          <w:i/>
          <w:spacing w:val="0"/>
        </w:rPr>
        <w:t xml:space="preserve">2020 Fourth International Conference on I-SMAC</w:t>
      </w:r>
      <w:r>
        <w:rPr>
          <w:rFonts w:ascii="Times New Roman" w:hAnsi="Times New Roman" w:cs="Times New Roman"/>
          <w:sz w:val="32"/>
          <w:sz-cs w:val="32"/>
          <w:spacing w:val="0"/>
        </w:rPr>
        <w:t xml:space="preserve">. IEEE. https://doi.org/10.1109/I-SMAC49090.2020.9243428</w:t>
      </w:r>
    </w:p>
    <w:p>
      <w:pPr>
        <w:ind w:left="960" w:first-line="-960"/>
        <w:spacing w:after="320"/>
      </w:pPr>
      <w:r>
        <w:rPr>
          <w:rFonts w:ascii="Times New Roman" w:hAnsi="Times New Roman" w:cs="Times New Roman"/>
          <w:sz w:val="32"/>
          <w:sz-cs w:val="32"/>
          <w:spacing w:val="0"/>
        </w:rPr>
        <w:t xml:space="preserve">Khan, S., Sumra, I. A., Gillani, B., &amp; Azeem, W. (2025). Cybersecurity challenges in digital forensics types: Network forensics, cloud forensics and mobile forensics. </w:t>
      </w:r>
      <w:r>
        <w:rPr>
          <w:rFonts w:ascii="Times New Roman" w:hAnsi="Times New Roman" w:cs="Times New Roman"/>
          <w:sz w:val="32"/>
          <w:sz-cs w:val="32"/>
          <w:i/>
          <w:spacing w:val="0"/>
        </w:rPr>
        <w:t xml:space="preserve">International Journal of Emerging Engineering and Technology</w:t>
      </w:r>
      <w:r>
        <w:rPr>
          <w:rFonts w:ascii="Times New Roman" w:hAnsi="Times New Roman" w:cs="Times New Roman"/>
          <w:sz w:val="32"/>
          <w:sz-cs w:val="32"/>
          <w:spacing w:val="0"/>
        </w:rPr>
        <w:t xml:space="preserve">. https://doi.org/10.57041/6ch2xv72</w:t>
      </w:r>
    </w:p>
    <w:p>
      <w:pPr>
        <w:ind w:left="960" w:first-line="-960"/>
        <w:spacing w:after="320"/>
      </w:pPr>
      <w:r>
        <w:rPr>
          <w:rFonts w:ascii="Times New Roman" w:hAnsi="Times New Roman" w:cs="Times New Roman"/>
          <w:sz w:val="32"/>
          <w:sz-cs w:val="32"/>
          <w:spacing w:val="0"/>
        </w:rPr>
        <w:t xml:space="preserve">International Organization for Standardization. (2012). </w:t>
      </w:r>
      <w:r>
        <w:rPr>
          <w:rFonts w:ascii="Times New Roman" w:hAnsi="Times New Roman" w:cs="Times New Roman"/>
          <w:sz w:val="32"/>
          <w:sz-cs w:val="32"/>
          <w:i/>
          <w:spacing w:val="0"/>
        </w:rPr>
        <w:t xml:space="preserve">ISO/IEC 27037:2012: Guidelines for identification, collection, acquisition and preservation of digital evidence</w:t>
      </w:r>
      <w:r>
        <w:rPr>
          <w:rFonts w:ascii="Times New Roman" w:hAnsi="Times New Roman" w:cs="Times New Roman"/>
          <w:sz w:val="32"/>
          <w:sz-cs w:val="32"/>
          <w:spacing w:val="0"/>
        </w:rPr>
        <w:t xml:space="preserve">. https://www.iso.org/standard/44381.html</w:t>
      </w:r>
    </w:p>
    <w:p>
      <w:pPr>
        <w:ind w:left="960" w:first-line="-960"/>
        <w:spacing w:after="320"/>
      </w:pPr>
      <w:r>
        <w:rPr>
          <w:rFonts w:ascii="Times New Roman" w:hAnsi="Times New Roman" w:cs="Times New Roman"/>
          <w:sz w:val="32"/>
          <w:sz-cs w:val="32"/>
          <w:spacing w:val="0"/>
        </w:rPr>
        <w:t xml:space="preserve">International Organization for Standardization. (2015a). </w:t>
      </w:r>
      <w:r>
        <w:rPr>
          <w:rFonts w:ascii="Times New Roman" w:hAnsi="Times New Roman" w:cs="Times New Roman"/>
          <w:sz w:val="32"/>
          <w:sz-cs w:val="32"/>
          <w:i/>
          <w:spacing w:val="0"/>
        </w:rPr>
        <w:t xml:space="preserve">ISO/IEC 27041:2015: Guidance on assuring suitability and adequacy of incident investigative methods</w:t>
      </w:r>
      <w:r>
        <w:rPr>
          <w:rFonts w:ascii="Times New Roman" w:hAnsi="Times New Roman" w:cs="Times New Roman"/>
          <w:sz w:val="32"/>
          <w:sz-cs w:val="32"/>
          <w:spacing w:val="0"/>
        </w:rPr>
        <w:t xml:space="preserve">. https://www.iso.org/standard/44407.html</w:t>
      </w:r>
    </w:p>
    <w:p>
      <w:pPr>
        <w:ind w:left="960" w:first-line="-960"/>
        <w:spacing w:after="320"/>
      </w:pPr>
      <w:r>
        <w:rPr>
          <w:rFonts w:ascii="Times New Roman" w:hAnsi="Times New Roman" w:cs="Times New Roman"/>
          <w:sz w:val="32"/>
          <w:sz-cs w:val="32"/>
          <w:spacing w:val="0"/>
        </w:rPr>
        <w:t xml:space="preserve">International Organization for Standardization. (2015b). </w:t>
      </w:r>
      <w:r>
        <w:rPr>
          <w:rFonts w:ascii="Times New Roman" w:hAnsi="Times New Roman" w:cs="Times New Roman"/>
          <w:sz w:val="32"/>
          <w:sz-cs w:val="32"/>
          <w:i/>
          <w:spacing w:val="0"/>
        </w:rPr>
        <w:t xml:space="preserve">ISO/IEC 27042:2015: Guidelines for the analysis and interpretation of digital evidence</w:t>
      </w:r>
      <w:r>
        <w:rPr>
          <w:rFonts w:ascii="Times New Roman" w:hAnsi="Times New Roman" w:cs="Times New Roman"/>
          <w:sz w:val="32"/>
          <w:sz-cs w:val="32"/>
          <w:spacing w:val="0"/>
        </w:rPr>
        <w:t xml:space="preserve">. https://www.iso.org/standard/44406.html</w:t>
      </w:r>
    </w:p>
    <w:p>
      <w:pPr>
        <w:ind w:left="960" w:first-line="-960"/>
        <w:spacing w:after="320"/>
      </w:pPr>
      <w:r>
        <w:rPr>
          <w:rFonts w:ascii="Times New Roman" w:hAnsi="Times New Roman" w:cs="Times New Roman"/>
          <w:sz w:val="32"/>
          <w:sz-cs w:val="32"/>
          <w:spacing w:val="0"/>
        </w:rPr>
        <w:t xml:space="preserve">International Organization for Standardization. (2015c). </w:t>
      </w:r>
      <w:r>
        <w:rPr>
          <w:rFonts w:ascii="Times New Roman" w:hAnsi="Times New Roman" w:cs="Times New Roman"/>
          <w:sz w:val="32"/>
          <w:sz-cs w:val="32"/>
          <w:i/>
          <w:spacing w:val="0"/>
        </w:rPr>
        <w:t xml:space="preserve">ISO/IEC 27043:2015: Incident investigation principles and processes</w:t>
      </w:r>
      <w:r>
        <w:rPr>
          <w:rFonts w:ascii="Times New Roman" w:hAnsi="Times New Roman" w:cs="Times New Roman"/>
          <w:sz w:val="32"/>
          <w:sz-cs w:val="32"/>
          <w:spacing w:val="0"/>
        </w:rPr>
        <w:t xml:space="preserve">. https://www.iso.org/standard/44408.html</w:t>
      </w:r>
    </w:p>
    <w:p>
      <w:pPr>
        <w:ind w:left="960" w:first-line="-960"/>
        <w:spacing w:after="320"/>
      </w:pPr>
      <w:r>
        <w:rPr>
          <w:rFonts w:ascii="Times New Roman" w:hAnsi="Times New Roman" w:cs="Times New Roman"/>
          <w:sz w:val="32"/>
          <w:sz-cs w:val="32"/>
          <w:spacing w:val="0"/>
        </w:rPr>
        <w:t xml:space="preserve">Moreb, M. (2022). </w:t>
      </w:r>
      <w:r>
        <w:rPr>
          <w:rFonts w:ascii="Times New Roman" w:hAnsi="Times New Roman" w:cs="Times New Roman"/>
          <w:sz w:val="32"/>
          <w:sz-cs w:val="32"/>
          <w:i/>
          <w:spacing w:val="0"/>
        </w:rPr>
        <w:t xml:space="preserve">Practical forensic analysis of artifacts on iOS and Android devices</w:t>
      </w:r>
      <w:r>
        <w:rPr>
          <w:rFonts w:ascii="Times New Roman" w:hAnsi="Times New Roman" w:cs="Times New Roman"/>
          <w:sz w:val="32"/>
          <w:sz-cs w:val="32"/>
          <w:spacing w:val="0"/>
        </w:rPr>
        <w:t xml:space="preserve">. Apress. https://doi.org/10.1007/978-1-4842-8026-3</w:t>
      </w:r>
    </w:p>
    <w:p>
      <w:pPr>
        <w:ind w:left="960" w:first-line="-960"/>
        <w:spacing w:after="320"/>
      </w:pPr>
      <w:r>
        <w:rPr>
          <w:rFonts w:ascii="Times New Roman" w:hAnsi="Times New Roman" w:cs="Times New Roman"/>
          <w:sz w:val="32"/>
          <w:sz-cs w:val="32"/>
          <w:spacing w:val="0"/>
        </w:rPr>
        <w:t xml:space="preserve">National Institute of Standards and Technology. (2006). </w:t>
      </w:r>
      <w:r>
        <w:rPr>
          <w:rFonts w:ascii="Times New Roman" w:hAnsi="Times New Roman" w:cs="Times New Roman"/>
          <w:sz w:val="32"/>
          <w:sz-cs w:val="32"/>
          <w:i/>
          <w:spacing w:val="0"/>
        </w:rPr>
        <w:t xml:space="preserve">Guide to integrating forensic techniques into incident response</w:t>
      </w:r>
      <w:r>
        <w:rPr>
          <w:rFonts w:ascii="Times New Roman" w:hAnsi="Times New Roman" w:cs="Times New Roman"/>
          <w:sz w:val="32"/>
          <w:sz-cs w:val="32"/>
          <w:spacing w:val="0"/>
        </w:rPr>
        <w:t xml:space="preserve"> (Special Publication 800-86). https://csrc.nist.gov/publications/detail/sp/800-86/final</w:t>
      </w:r>
    </w:p>
    <w:p>
      <w:pPr>
        <w:ind w:left="960" w:first-line="-960"/>
        <w:spacing w:after="320"/>
      </w:pPr>
      <w:r>
        <w:rPr>
          <w:rFonts w:ascii="Times New Roman" w:hAnsi="Times New Roman" w:cs="Times New Roman"/>
          <w:sz w:val="32"/>
          <w:sz-cs w:val="32"/>
          <w:spacing w:val="0"/>
        </w:rPr>
        <w:t xml:space="preserve">National Institute of Standards and Technology. (2014). </w:t>
      </w:r>
      <w:r>
        <w:rPr>
          <w:rFonts w:ascii="Times New Roman" w:hAnsi="Times New Roman" w:cs="Times New Roman"/>
          <w:sz w:val="32"/>
          <w:sz-cs w:val="32"/>
          <w:i/>
          <w:spacing w:val="0"/>
        </w:rPr>
        <w:t xml:space="preserve">Guidelines on mobile device forensics</w:t>
      </w:r>
      <w:r>
        <w:rPr>
          <w:rFonts w:ascii="Times New Roman" w:hAnsi="Times New Roman" w:cs="Times New Roman"/>
          <w:sz w:val="32"/>
          <w:sz-cs w:val="32"/>
          <w:spacing w:val="0"/>
        </w:rPr>
        <w:t xml:space="preserve"> (Special Publication 800-101 Rev. 1). https://csrc.nist.gov/publications/detail/sp/800-101/rev-1/final</w:t>
      </w:r>
    </w:p>
    <w:p>
      <w:pPr>
        <w:ind w:left="960" w:first-line="-960"/>
        <w:spacing w:after="320"/>
      </w:pPr>
      <w:r>
        <w:rPr>
          <w:rFonts w:ascii="Times New Roman" w:hAnsi="Times New Roman" w:cs="Times New Roman"/>
          <w:sz w:val="32"/>
          <w:sz-cs w:val="32"/>
          <w:spacing w:val="0"/>
        </w:rPr>
        <w:t xml:space="preserve">Reedy, P. (2023). Mobile device forensics. In </w:t>
      </w:r>
      <w:r>
        <w:rPr>
          <w:rFonts w:ascii="Times New Roman" w:hAnsi="Times New Roman" w:cs="Times New Roman"/>
          <w:sz w:val="32"/>
          <w:sz-cs w:val="32"/>
          <w:i/>
          <w:spacing w:val="0"/>
        </w:rPr>
        <w:t xml:space="preserve">Encyclopedia of forensic sciences</w:t>
      </w:r>
      <w:r>
        <w:rPr>
          <w:rFonts w:ascii="Times New Roman" w:hAnsi="Times New Roman" w:cs="Times New Roman"/>
          <w:sz w:val="32"/>
          <w:sz-cs w:val="32"/>
          <w:spacing w:val="0"/>
        </w:rPr>
        <w:t xml:space="preserve"> (3rd ed.). Elsevier. https://doi.org/10.1016/B978-0-12-823677-2.00240-3</w:t>
      </w:r>
    </w:p>
    <w:p>
      <w:pPr>
        <w:ind w:left="960" w:first-line="-960"/>
        <w:spacing w:after="320"/>
      </w:pPr>
      <w:r>
        <w:rPr>
          <w:rFonts w:ascii="Times New Roman" w:hAnsi="Times New Roman" w:cs="Times New Roman"/>
          <w:sz w:val="32"/>
          <w:sz-cs w:val="32"/>
          <w:spacing w:val="0"/>
        </w:rPr>
        <w:t xml:space="preserve">Sharma, P., Arora, D., &amp; Sakthivel, T. (2020). Mobile cloud forensic readiness process model for cloud-based mobile applications. </w:t>
      </w:r>
      <w:r>
        <w:rPr>
          <w:rFonts w:ascii="Times New Roman" w:hAnsi="Times New Roman" w:cs="Times New Roman"/>
          <w:sz w:val="32"/>
          <w:sz-cs w:val="32"/>
          <w:i/>
          <w:spacing w:val="0"/>
        </w:rPr>
        <w:t xml:space="preserve">International Journal of Digital Crime and Forensics</w:t>
      </w:r>
      <w:r>
        <w:rPr>
          <w:rFonts w:ascii="Times New Roman" w:hAnsi="Times New Roman" w:cs="Times New Roman"/>
          <w:sz w:val="32"/>
          <w:sz-cs w:val="32"/>
          <w:spacing w:val="0"/>
        </w:rPr>
        <w:t xml:space="preserve">. https://doi.org/10.4018/IJDCF.2020070105</w:t>
      </w:r>
    </w:p>
    <w:p>
      <w:pPr>
        <w:ind w:left="960" w:first-line="-960"/>
        <w:spacing w:after="320"/>
      </w:pPr>
      <w:r>
        <w:rPr>
          <w:rFonts w:ascii="Times New Roman" w:hAnsi="Times New Roman" w:cs="Times New Roman"/>
          <w:sz w:val="32"/>
          <w:sz-cs w:val="32"/>
          <w:spacing w:val="0"/>
        </w:rPr>
        <w:t xml:space="preserve">Sudhakaran, S., Ali-Gombe, A., Case, A., &amp; Richard, G. (2022). Evaluating the reliability of Android userland memory forensics. </w:t>
      </w:r>
      <w:r>
        <w:rPr>
          <w:rFonts w:ascii="Times New Roman" w:hAnsi="Times New Roman" w:cs="Times New Roman"/>
          <w:sz w:val="32"/>
          <w:sz-cs w:val="32"/>
          <w:i/>
          <w:spacing w:val="0"/>
        </w:rPr>
        <w:t xml:space="preserve">International Conference on Cyber Warfare and Security, 17</w:t>
      </w:r>
      <w:r>
        <w:rPr>
          <w:rFonts w:ascii="Times New Roman" w:hAnsi="Times New Roman" w:cs="Times New Roman"/>
          <w:sz w:val="32"/>
          <w:sz-cs w:val="32"/>
          <w:spacing w:val="0"/>
        </w:rPr>
        <w:t xml:space="preserve">(1). https://doi.org/10.34190/iccws.17.1.54</w:t>
      </w:r>
    </w:p>
    <w:p>
      <w:pPr>
        <w:ind w:left="960" w:first-line="-960"/>
        <w:spacing w:after="320"/>
      </w:pPr>
      <w:r>
        <w:rPr>
          <w:rFonts w:ascii="Times New Roman" w:hAnsi="Times New Roman" w:cs="Times New Roman"/>
          <w:sz w:val="32"/>
          <w:sz-cs w:val="32"/>
          <w:spacing w:val="0"/>
        </w:rPr>
        <w:t xml:space="preserve">Sutikno, T., &amp; Busthomi, I. (2024). Capabilities of Cellebrite Universal Forensics Extraction Device in mobile device forensics. </w:t>
      </w:r>
      <w:r>
        <w:rPr>
          <w:rFonts w:ascii="Times New Roman" w:hAnsi="Times New Roman" w:cs="Times New Roman"/>
          <w:sz w:val="32"/>
          <w:sz-cs w:val="32"/>
          <w:i/>
          <w:spacing w:val="0"/>
        </w:rPr>
        <w:t xml:space="preserve">Computer Science and Information Technologies, 5</w:t>
      </w:r>
      <w:r>
        <w:rPr>
          <w:rFonts w:ascii="Times New Roman" w:hAnsi="Times New Roman" w:cs="Times New Roman"/>
          <w:sz w:val="32"/>
          <w:sz-cs w:val="32"/>
          <w:spacing w:val="0"/>
        </w:rPr>
        <w:t xml:space="preserve">(3), 254–264. https://doi.org/10.11591/csit.v5i3.p254-264</w:t>
      </w:r>
    </w:p>
    <w:p>
      <w:pPr>
        <w:ind w:left="960" w:first-line="-960"/>
        <w:spacing w:after="320"/>
      </w:pPr>
      <w:r>
        <w:rPr>
          <w:rFonts w:ascii="Times New Roman" w:hAnsi="Times New Roman" w:cs="Times New Roman"/>
          <w:sz w:val="32"/>
          <w:sz-cs w:val="32"/>
          <w:spacing w:val="0"/>
        </w:rPr>
        <w:t xml:space="preserve">SWGDE. (2020). </w:t>
      </w:r>
      <w:r>
        <w:rPr>
          <w:rFonts w:ascii="Times New Roman" w:hAnsi="Times New Roman" w:cs="Times New Roman"/>
          <w:sz w:val="32"/>
          <w:sz-cs w:val="32"/>
          <w:i/>
          <w:spacing w:val="0"/>
        </w:rPr>
        <w:t xml:space="preserve">Best practices for digital evidence collection</w:t>
      </w:r>
      <w:r>
        <w:rPr>
          <w:rFonts w:ascii="Times New Roman" w:hAnsi="Times New Roman" w:cs="Times New Roman"/>
          <w:sz w:val="32"/>
          <w:sz-cs w:val="32"/>
          <w:spacing w:val="0"/>
        </w:rPr>
        <w:t xml:space="preserve"> (18-F-002-2.0). https://www.swgde.org/documents/published-complete-listing/</w:t>
      </w:r>
    </w:p>
    <w:p>
      <w:pPr>
        <w:ind w:left="960" w:first-line="-960"/>
        <w:spacing w:after="320"/>
      </w:pPr>
      <w:r>
        <w:rPr>
          <w:rFonts w:ascii="Times New Roman" w:hAnsi="Times New Roman" w:cs="Times New Roman"/>
          <w:sz w:val="32"/>
          <w:sz-cs w:val="32"/>
          <w:spacing w:val="0"/>
        </w:rPr>
        <w:t xml:space="preserve">SWGDE. (2024). </w:t>
      </w:r>
      <w:r>
        <w:rPr>
          <w:rFonts w:ascii="Times New Roman" w:hAnsi="Times New Roman" w:cs="Times New Roman"/>
          <w:sz w:val="32"/>
          <w:sz-cs w:val="32"/>
          <w:i/>
          <w:spacing w:val="0"/>
        </w:rPr>
        <w:t xml:space="preserve">Best practices for validation of digital and multimedia evidence forensic software</w:t>
      </w:r>
      <w:r>
        <w:rPr>
          <w:rFonts w:ascii="Times New Roman" w:hAnsi="Times New Roman" w:cs="Times New Roman"/>
          <w:sz w:val="32"/>
          <w:sz-cs w:val="32"/>
          <w:spacing w:val="0"/>
        </w:rPr>
        <w:t xml:space="preserve">. https://www.swgde.org/documents/published-complete-listing/</w:t>
      </w:r>
    </w:p>
    <w:p>
      <w:pPr>
        <w:ind w:left="960" w:first-line="-960"/>
        <w:spacing w:after="320"/>
      </w:pPr>
      <w:r>
        <w:rPr>
          <w:rFonts w:ascii="Times New Roman" w:hAnsi="Times New Roman" w:cs="Times New Roman"/>
          <w:sz w:val="32"/>
          <w:sz-cs w:val="32"/>
          <w:spacing w:val="0"/>
        </w:rPr>
        <w:t xml:space="preserve">Sheth, R., Kaushik, K., Parekha, C., &amp; Chayal, N. (2025). </w:t>
      </w:r>
      <w:r>
        <w:rPr>
          <w:rFonts w:ascii="Times New Roman" w:hAnsi="Times New Roman" w:cs="Times New Roman"/>
          <w:sz w:val="32"/>
          <w:sz-cs w:val="32"/>
          <w:i/>
          <w:spacing w:val="0"/>
        </w:rPr>
        <w:t xml:space="preserve">Android and iOS mobile forensics: Leveraging blockchain, machine learning, and deep learning for digital investigations</w:t>
      </w:r>
      <w:r>
        <w:rPr>
          <w:rFonts w:ascii="Times New Roman" w:hAnsi="Times New Roman" w:cs="Times New Roman"/>
          <w:sz w:val="32"/>
          <w:sz-cs w:val="32"/>
          <w:spacing w:val="0"/>
        </w:rPr>
        <w:t xml:space="preserve">. Apress. https://doi.org/10.1007/979-8-8688-1748-9</w:t>
      </w:r>
    </w:p>
    <w:p>
      <w:pPr>
        <w:ind w:left="960" w:first-line="-960"/>
        <w:spacing w:after="320"/>
      </w:pPr>
      <w:r>
        <w:rPr>
          <w:rFonts w:ascii="Times New Roman" w:hAnsi="Times New Roman" w:cs="Times New Roman"/>
          <w:sz w:val="32"/>
          <w:sz-cs w:val="32"/>
          <w:spacing w:val="0"/>
        </w:rPr>
        <w:t xml:space="preserve">Tayeb, H. F., &amp; Varol, C. (2019). Android mobile device forensics: A review. In </w:t>
      </w:r>
      <w:r>
        <w:rPr>
          <w:rFonts w:ascii="Times New Roman" w:hAnsi="Times New Roman" w:cs="Times New Roman"/>
          <w:sz w:val="32"/>
          <w:sz-cs w:val="32"/>
          <w:i/>
          <w:spacing w:val="0"/>
        </w:rPr>
        <w:t xml:space="preserve">2019 7th International Symposium on Digital Forensics and Security</w:t>
      </w:r>
      <w:r>
        <w:rPr>
          <w:rFonts w:ascii="Times New Roman" w:hAnsi="Times New Roman" w:cs="Times New Roman"/>
          <w:sz w:val="32"/>
          <w:sz-cs w:val="32"/>
          <w:spacing w:val="0"/>
        </w:rPr>
        <w:t xml:space="preserve"> (pp. 1–7). IEEE. https://doi.org/10.1109/ISDFS.2019.8757493</w:t>
      </w:r>
    </w:p>
    <w:p>
      <w:pPr>
        <w:ind w:left="960" w:first-line="-960"/>
        <w:spacing w:after="320"/>
      </w:pPr>
      <w:r>
        <w:rPr>
          <w:rFonts w:ascii="Times New Roman" w:hAnsi="Times New Roman" w:cs="Times New Roman"/>
          <w:sz w:val="32"/>
          <w:sz-cs w:val="32"/>
          <w:spacing w:val="0"/>
        </w:rPr>
        <w:t xml:space="preserve">Verizon. (2025). </w:t>
      </w:r>
      <w:r>
        <w:rPr>
          <w:rFonts w:ascii="Times New Roman" w:hAnsi="Times New Roman" w:cs="Times New Roman"/>
          <w:sz w:val="32"/>
          <w:sz-cs w:val="32"/>
          <w:i/>
          <w:spacing w:val="0"/>
        </w:rPr>
        <w:t xml:space="preserve">2025 Data breach investigations report</w:t>
      </w:r>
      <w:r>
        <w:rPr>
          <w:rFonts w:ascii="Times New Roman" w:hAnsi="Times New Roman" w:cs="Times New Roman"/>
          <w:sz w:val="32"/>
          <w:sz-cs w:val="32"/>
          <w:spacing w:val="0"/>
        </w:rPr>
        <w:t xml:space="preserve">. https://www.verizon.com/business/resources/reports/dbir/</w:t>
      </w:r>
    </w:p>
    <w:p>
      <w:pPr>
        <w:ind w:left="960" w:first-line="-960"/>
        <w:spacing w:after="320"/>
      </w:pPr>
      <w:r>
        <w:rPr>
          <w:rFonts w:ascii="Times New Roman" w:hAnsi="Times New Roman" w:cs="Times New Roman"/>
          <w:sz w:val="32"/>
          <w:sz-cs w:val="32"/>
          <w:spacing w:val="0"/>
        </w:rPr>
        <w:t xml:space="preserve">Younis, L. B., Sweda, S., &amp; Alzu’bi, A. (2021). Forensics analysis of private web browsing using Android memory acquisition. In </w:t>
      </w:r>
      <w:r>
        <w:rPr>
          <w:rFonts w:ascii="Times New Roman" w:hAnsi="Times New Roman" w:cs="Times New Roman"/>
          <w:sz w:val="32"/>
          <w:sz-cs w:val="32"/>
          <w:i/>
          <w:spacing w:val="0"/>
        </w:rPr>
        <w:t xml:space="preserve">2021 12th International Conference on Information and Communication Systems</w:t>
      </w:r>
      <w:r>
        <w:rPr>
          <w:rFonts w:ascii="Times New Roman" w:hAnsi="Times New Roman" w:cs="Times New Roman"/>
          <w:sz w:val="32"/>
          <w:sz-cs w:val="32"/>
          <w:spacing w:val="0"/>
        </w:rPr>
        <w:t xml:space="preserve">. IEEE. https://doi.org/10.1109/ICICS52457.2021.9464591</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