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72C0B" w14:textId="77777777" w:rsidR="00CE131F" w:rsidRPr="00FA5D27" w:rsidRDefault="00CE131F">
      <w:pPr>
        <w:spacing w:before="2880"/>
      </w:pPr>
    </w:p>
    <w:p w14:paraId="2FC17757" w14:textId="77777777" w:rsidR="00CE131F" w:rsidRPr="00FA5D27" w:rsidRDefault="00000000">
      <w:pPr>
        <w:spacing w:after="240"/>
        <w:jc w:val="center"/>
      </w:pPr>
      <w:r w:rsidRPr="00FA5D27">
        <w:rPr>
          <w:b/>
          <w:bCs/>
          <w:sz w:val="52"/>
          <w:szCs w:val="52"/>
        </w:rPr>
        <w:t>Predicting Customer Churn in the Telecommunications Industry</w:t>
      </w:r>
    </w:p>
    <w:p w14:paraId="2C0C1A2D" w14:textId="77777777" w:rsidR="00CE131F" w:rsidRPr="00FA5D27" w:rsidRDefault="00000000">
      <w:pPr>
        <w:spacing w:after="160"/>
        <w:jc w:val="center"/>
      </w:pPr>
      <w:r w:rsidRPr="00FA5D27">
        <w:rPr>
          <w:i/>
          <w:iCs/>
          <w:sz w:val="32"/>
          <w:szCs w:val="32"/>
        </w:rPr>
        <w:t>A Predictive Analytics Approach Using Machine Learning</w:t>
      </w:r>
    </w:p>
    <w:p w14:paraId="6754F475" w14:textId="77777777" w:rsidR="00CE131F" w:rsidRPr="00FA5D27" w:rsidRDefault="00CE131F"/>
    <w:p w14:paraId="41330A9D" w14:textId="77777777" w:rsidR="00CE131F" w:rsidRPr="00FA5D27" w:rsidRDefault="00CE131F"/>
    <w:p w14:paraId="5E2B0844" w14:textId="77777777" w:rsidR="00CE131F" w:rsidRPr="00FA5D27" w:rsidRDefault="00CE131F"/>
    <w:p w14:paraId="33E913BD" w14:textId="77777777" w:rsidR="00CE131F" w:rsidRPr="00FA5D27" w:rsidRDefault="00CE131F"/>
    <w:p w14:paraId="0FA6F6E1" w14:textId="77777777" w:rsidR="00CE131F" w:rsidRPr="00FA5D27" w:rsidRDefault="00000000">
      <w:pPr>
        <w:spacing w:after="80"/>
        <w:jc w:val="center"/>
      </w:pPr>
      <w:r w:rsidRPr="00FA5D27">
        <w:rPr>
          <w:b/>
          <w:bCs/>
          <w:sz w:val="28"/>
          <w:szCs w:val="28"/>
        </w:rPr>
        <w:t>Manoj K Kola</w:t>
      </w:r>
    </w:p>
    <w:p w14:paraId="1359D894" w14:textId="72C70549" w:rsidR="00CE131F" w:rsidRPr="00FA5D27" w:rsidRDefault="00000000">
      <w:pPr>
        <w:spacing w:after="80"/>
        <w:jc w:val="center"/>
      </w:pPr>
      <w:r w:rsidRPr="00FA5D27">
        <w:t xml:space="preserve">DSC 630 – Predictive Analytics </w:t>
      </w:r>
    </w:p>
    <w:p w14:paraId="78D65A23" w14:textId="77777777" w:rsidR="00CE131F" w:rsidRPr="00FA5D27" w:rsidRDefault="00000000">
      <w:pPr>
        <w:spacing w:after="80"/>
        <w:jc w:val="center"/>
      </w:pPr>
      <w:r w:rsidRPr="00FA5D27">
        <w:t>Bellevue University</w:t>
      </w:r>
    </w:p>
    <w:p w14:paraId="524CEFA5" w14:textId="77777777" w:rsidR="00CE131F" w:rsidRPr="00FA5D27" w:rsidRDefault="00000000">
      <w:pPr>
        <w:spacing w:after="80"/>
        <w:jc w:val="center"/>
      </w:pPr>
      <w:r w:rsidRPr="00FA5D27">
        <w:rPr>
          <w:i/>
          <w:iCs/>
        </w:rPr>
        <w:t>Milestone 5 – Final Project Paper</w:t>
      </w:r>
    </w:p>
    <w:p w14:paraId="6C925B64" w14:textId="77777777" w:rsidR="00CE131F" w:rsidRPr="00FA5D27" w:rsidRDefault="00000000">
      <w:pPr>
        <w:spacing w:after="80"/>
        <w:jc w:val="center"/>
      </w:pPr>
      <w:r w:rsidRPr="00FA5D27">
        <w:t>May 2025</w:t>
      </w:r>
    </w:p>
    <w:p w14:paraId="45C8EBFC" w14:textId="77777777" w:rsidR="00CE131F" w:rsidRPr="00FA5D27" w:rsidRDefault="00000000">
      <w:r w:rsidRPr="00FA5D27">
        <w:br w:type="page"/>
      </w:r>
    </w:p>
    <w:p w14:paraId="481208AD" w14:textId="77777777" w:rsidR="00CE131F" w:rsidRPr="00FA5D27" w:rsidRDefault="00000000">
      <w:pPr>
        <w:pStyle w:val="Heading1"/>
        <w:rPr>
          <w:color w:val="auto"/>
        </w:rPr>
      </w:pPr>
      <w:r w:rsidRPr="00FA5D27">
        <w:rPr>
          <w:color w:val="auto"/>
        </w:rPr>
        <w:lastRenderedPageBreak/>
        <w:t>Abstract</w:t>
      </w:r>
    </w:p>
    <w:p w14:paraId="76E39E6D" w14:textId="73A407A8" w:rsidR="00CE131F" w:rsidRPr="00FA5D27" w:rsidRDefault="00000000">
      <w:pPr>
        <w:spacing w:after="160" w:line="480" w:lineRule="auto"/>
        <w:jc w:val="both"/>
      </w:pPr>
      <w:r w:rsidRPr="00FA5D27">
        <w:t>Customer churn</w:t>
      </w:r>
      <w:r w:rsidR="00BB2F0C" w:rsidRPr="00FA5D27">
        <w:t xml:space="preserve">, the departure of existing customers from a service provider, </w:t>
      </w:r>
      <w:r w:rsidRPr="00FA5D27">
        <w:t xml:space="preserve">represents one of the costliest challenges in the telecommunications industry. This paper presents a complete predictive analytics pipeline </w:t>
      </w:r>
      <w:r w:rsidR="0040672E" w:rsidRPr="00FA5D27">
        <w:t>for identifying</w:t>
      </w:r>
      <w:r w:rsidRPr="00FA5D27">
        <w:t xml:space="preserve"> at-risk customers in the Telco Customer Churn dataset, which comprises 7,043 customer records spanning demographics, billing information, and service subscriptions. Following thorough data preparation</w:t>
      </w:r>
      <w:r w:rsidR="0040672E" w:rsidRPr="00FA5D27">
        <w:t>,</w:t>
      </w:r>
      <w:r w:rsidRPr="00FA5D27">
        <w:t xml:space="preserve"> including type correction, median imputation, categorical encoding, and Synthetic Minority Oversampling Technique (SMOTE) to address class imbalance, four machine learning classifiers were trained and evaluated: Logistic Regression, Decision Tree, Random Forest, and Gradient Boosting. The best-performing model, a baseline Gradient Boosting classifier, achieved a ROC-AUC of 0.8214 on the held-out test set. Hyperparameter tuning via GridSearchCV produced a tuned Gradient Boosting model with an AUC of 0.8169 and a churn precision of 55%, correctly identifying 226 of 374 actual churners. </w:t>
      </w:r>
      <w:r w:rsidR="00BB2F0C" w:rsidRPr="00FA5D27">
        <w:t>The</w:t>
      </w:r>
      <w:r w:rsidRPr="00FA5D27">
        <w:t xml:space="preserve"> importance analysis revealed that contract type alone accounts for nearly 40% of </w:t>
      </w:r>
      <w:r w:rsidR="0040672E" w:rsidRPr="00FA5D27">
        <w:t xml:space="preserve">the </w:t>
      </w:r>
      <w:r w:rsidRPr="00FA5D27">
        <w:t>predictive signal. Five actionable business recommendations are proposed, including contract migration incentives, high-charge customer value reviews, and service-adoption programs. Limitations</w:t>
      </w:r>
      <w:r w:rsidR="0040672E" w:rsidRPr="00FA5D27">
        <w:t>, including model generalizability and data richness gaps,</w:t>
      </w:r>
      <w:r w:rsidRPr="00FA5D27">
        <w:t xml:space="preserve"> are discussed alongside a roadmap for future improvement.</w:t>
      </w:r>
    </w:p>
    <w:p w14:paraId="1541A3AD" w14:textId="77777777" w:rsidR="00CE131F" w:rsidRPr="00FA5D27" w:rsidRDefault="00000000">
      <w:pPr>
        <w:spacing w:after="160" w:line="480" w:lineRule="auto"/>
        <w:jc w:val="both"/>
      </w:pPr>
      <w:r w:rsidRPr="00FA5D27">
        <w:rPr>
          <w:i/>
          <w:iCs/>
        </w:rPr>
        <w:t>Keywords: customer churn, predictive analytics, machine learning, SMOTE, gradient boosting, telecom, feature importance</w:t>
      </w:r>
    </w:p>
    <w:p w14:paraId="1230E2DE" w14:textId="77777777" w:rsidR="00CE131F" w:rsidRPr="00FA5D27" w:rsidRDefault="00000000">
      <w:r w:rsidRPr="00FA5D27">
        <w:br w:type="page"/>
      </w:r>
    </w:p>
    <w:p w14:paraId="787C08E8" w14:textId="77777777" w:rsidR="00CE131F" w:rsidRPr="00FA5D27" w:rsidRDefault="00000000">
      <w:pPr>
        <w:pStyle w:val="Heading1"/>
        <w:rPr>
          <w:color w:val="auto"/>
        </w:rPr>
      </w:pPr>
      <w:r w:rsidRPr="00FA5D27">
        <w:rPr>
          <w:color w:val="auto"/>
        </w:rPr>
        <w:lastRenderedPageBreak/>
        <w:t>Introduction</w:t>
      </w:r>
    </w:p>
    <w:p w14:paraId="496E9734" w14:textId="6837B0FF" w:rsidR="00CE131F" w:rsidRPr="00FA5D27" w:rsidRDefault="00000000">
      <w:pPr>
        <w:spacing w:after="160" w:line="480" w:lineRule="auto"/>
        <w:jc w:val="both"/>
      </w:pPr>
      <w:r w:rsidRPr="00FA5D27">
        <w:t xml:space="preserve">Customer retention is a foundational strategic objective in the telecommunications industry. Unlike customer </w:t>
      </w:r>
      <w:r w:rsidR="0040672E" w:rsidRPr="00FA5D27">
        <w:t xml:space="preserve">acquisition, </w:t>
      </w:r>
      <w:r w:rsidRPr="00FA5D27">
        <w:t>which requires substantial marketing investment</w:t>
      </w:r>
      <w:r w:rsidR="0040672E" w:rsidRPr="00FA5D27">
        <w:t xml:space="preserve">, </w:t>
      </w:r>
      <w:r w:rsidRPr="00FA5D27">
        <w:t xml:space="preserve">retaining existing customers leverages established relationships and </w:t>
      </w:r>
      <w:r w:rsidR="00BB2F0C" w:rsidRPr="00FA5D27">
        <w:t>generates</w:t>
      </w:r>
      <w:r w:rsidRPr="00FA5D27">
        <w:t xml:space="preserve"> revenue at significantly lower cost. Industry research consistently </w:t>
      </w:r>
      <w:r w:rsidR="0040672E" w:rsidRPr="00FA5D27">
        <w:t>shows that acquiring a new customer costs 5 to 7 times as much as retaining an existing one, and even modest improvements in retention rates can yield</w:t>
      </w:r>
      <w:r w:rsidRPr="00FA5D27">
        <w:t xml:space="preserve"> double-digit gains in profitability (Reichheld &amp; Sasser, 1990). </w:t>
      </w:r>
      <w:r w:rsidR="0040672E" w:rsidRPr="00FA5D27">
        <w:t xml:space="preserve">In this context, customer churn, defined as a subscriber's voluntary discontinuation of a service, </w:t>
      </w:r>
      <w:r w:rsidRPr="00FA5D27">
        <w:t>poses a persistent and financially material risk.</w:t>
      </w:r>
    </w:p>
    <w:p w14:paraId="32AB8786" w14:textId="2A1FEA3A" w:rsidR="00CE131F" w:rsidRPr="00FA5D27" w:rsidRDefault="00000000">
      <w:pPr>
        <w:spacing w:after="160" w:line="480" w:lineRule="auto"/>
        <w:jc w:val="both"/>
      </w:pPr>
      <w:r w:rsidRPr="00FA5D27">
        <w:t xml:space="preserve">The telecommunications sector faces particularly intense churn pressure due to commoditization of services, low switching costs facilitated by number portability regulations, and aggressive competitor pricing. Average monthly churn rates in the U.S. wireless industry range from 1.5% to 2.5%, translating to annual turnover of 15–25% of a provider's customer base (Bhattacharya &amp; Sen, 2003). For a mid-size operator with </w:t>
      </w:r>
      <w:r w:rsidR="0040672E" w:rsidRPr="00FA5D27">
        <w:t>1 million subscribers, a 1% monthly churn rate translates to</w:t>
      </w:r>
      <w:r w:rsidRPr="00FA5D27">
        <w:t xml:space="preserve"> 10,000 lost customers per month</w:t>
      </w:r>
      <w:r w:rsidR="00BB2F0C" w:rsidRPr="00FA5D27">
        <w:t xml:space="preserve">, </w:t>
      </w:r>
      <w:r w:rsidRPr="00FA5D27">
        <w:t>each potentially representing $600–$1,200 in lost annual revenue.</w:t>
      </w:r>
    </w:p>
    <w:p w14:paraId="797AED27" w14:textId="77777777" w:rsidR="00CE131F" w:rsidRPr="00FA5D27" w:rsidRDefault="00000000">
      <w:pPr>
        <w:spacing w:after="160" w:line="480" w:lineRule="auto"/>
        <w:jc w:val="both"/>
      </w:pPr>
      <w:r w:rsidRPr="00FA5D27">
        <w:t>Predictive analytics offers a compelling solution: by modeling historical customer behavior and service usage patterns, organizations can identify at-risk customers before they cancel, enabling timely and targeted retention interventions. This project develops, evaluates, and interprets a full machine learning pipeline for churn prediction using the publicly available Telco Customer Churn dataset from Kaggle.</w:t>
      </w:r>
    </w:p>
    <w:p w14:paraId="7BE8EA53" w14:textId="77777777" w:rsidR="00CE131F" w:rsidRPr="00FA5D27" w:rsidRDefault="00000000">
      <w:pPr>
        <w:pStyle w:val="Heading2"/>
        <w:rPr>
          <w:color w:val="auto"/>
        </w:rPr>
      </w:pPr>
      <w:r w:rsidRPr="00FA5D27">
        <w:rPr>
          <w:color w:val="auto"/>
        </w:rPr>
        <w:lastRenderedPageBreak/>
        <w:t>Problem Statement</w:t>
      </w:r>
    </w:p>
    <w:p w14:paraId="3172676B" w14:textId="10657CF0" w:rsidR="00CE131F" w:rsidRPr="00FA5D27" w:rsidRDefault="00000000">
      <w:pPr>
        <w:spacing w:after="160" w:line="480" w:lineRule="auto"/>
        <w:jc w:val="both"/>
      </w:pPr>
      <w:r w:rsidRPr="00FA5D27">
        <w:t xml:space="preserve">The central question driving this analysis is: Can customer churn in the telecommunications industry be reliably predicted from available </w:t>
      </w:r>
      <w:r w:rsidR="00BB2F0C" w:rsidRPr="00FA5D27">
        <w:t>accounts</w:t>
      </w:r>
      <w:r w:rsidRPr="00FA5D27">
        <w:t>, demographic, billing, and service-subscription data</w:t>
      </w:r>
      <w:r w:rsidR="0040672E" w:rsidRPr="00FA5D27">
        <w:t xml:space="preserve">, </w:t>
      </w:r>
      <w:r w:rsidRPr="00FA5D27">
        <w:t>and which specific factors drive churn most strongly? A secondary objective is to translate model findings into actionable business recommendations that a retention team could realistically implement.</w:t>
      </w:r>
    </w:p>
    <w:p w14:paraId="0CF631B1" w14:textId="77777777" w:rsidR="00CE131F" w:rsidRPr="00FA5D27" w:rsidRDefault="00000000">
      <w:pPr>
        <w:pStyle w:val="Heading2"/>
        <w:rPr>
          <w:color w:val="auto"/>
        </w:rPr>
      </w:pPr>
      <w:r w:rsidRPr="00FA5D27">
        <w:rPr>
          <w:color w:val="auto"/>
        </w:rPr>
        <w:t>Project Objectives</w:t>
      </w:r>
    </w:p>
    <w:p w14:paraId="5BDD0128" w14:textId="77777777" w:rsidR="00CE131F" w:rsidRPr="00FA5D27" w:rsidRDefault="00000000">
      <w:pPr>
        <w:pStyle w:val="ListParagraph"/>
        <w:numPr>
          <w:ilvl w:val="0"/>
          <w:numId w:val="2"/>
        </w:numPr>
        <w:spacing w:after="80" w:line="480" w:lineRule="auto"/>
      </w:pPr>
      <w:r w:rsidRPr="00FA5D27">
        <w:t>Construct a reproducible, end-to-end machine learning pipeline for binary churn classification</w:t>
      </w:r>
    </w:p>
    <w:p w14:paraId="48823BAA" w14:textId="77777777" w:rsidR="00CE131F" w:rsidRPr="00FA5D27" w:rsidRDefault="00000000">
      <w:pPr>
        <w:pStyle w:val="ListParagraph"/>
        <w:numPr>
          <w:ilvl w:val="0"/>
          <w:numId w:val="2"/>
        </w:numPr>
        <w:spacing w:after="80" w:line="480" w:lineRule="auto"/>
      </w:pPr>
      <w:r w:rsidRPr="00FA5D27">
        <w:t>Apply appropriate preprocessing techniques to address data quality and class imbalance</w:t>
      </w:r>
    </w:p>
    <w:p w14:paraId="4737C452" w14:textId="77777777" w:rsidR="00CE131F" w:rsidRPr="00FA5D27" w:rsidRDefault="00000000">
      <w:pPr>
        <w:pStyle w:val="ListParagraph"/>
        <w:numPr>
          <w:ilvl w:val="0"/>
          <w:numId w:val="2"/>
        </w:numPr>
        <w:spacing w:after="80" w:line="480" w:lineRule="auto"/>
      </w:pPr>
      <w:r w:rsidRPr="00FA5D27">
        <w:t>Train, evaluate, and compare multiple classification models using rigorous metrics</w:t>
      </w:r>
    </w:p>
    <w:p w14:paraId="41735648" w14:textId="77777777" w:rsidR="00CE131F" w:rsidRPr="00FA5D27" w:rsidRDefault="00000000">
      <w:pPr>
        <w:pStyle w:val="ListParagraph"/>
        <w:numPr>
          <w:ilvl w:val="0"/>
          <w:numId w:val="2"/>
        </w:numPr>
        <w:spacing w:after="80" w:line="480" w:lineRule="auto"/>
      </w:pPr>
      <w:r w:rsidRPr="00FA5D27">
        <w:t>Identify and interpret the dominant drivers of customer churn</w:t>
      </w:r>
    </w:p>
    <w:p w14:paraId="00C1CF7E" w14:textId="77777777" w:rsidR="00CE131F" w:rsidRPr="00FA5D27" w:rsidRDefault="00000000">
      <w:pPr>
        <w:pStyle w:val="ListParagraph"/>
        <w:numPr>
          <w:ilvl w:val="0"/>
          <w:numId w:val="2"/>
        </w:numPr>
        <w:spacing w:after="80" w:line="480" w:lineRule="auto"/>
      </w:pPr>
      <w:r w:rsidRPr="00FA5D27">
        <w:t>Provide evidence-based business recommendations grounded in model outputs</w:t>
      </w:r>
    </w:p>
    <w:p w14:paraId="2641C541" w14:textId="77777777" w:rsidR="00CE131F" w:rsidRPr="00FA5D27" w:rsidRDefault="00000000">
      <w:pPr>
        <w:pStyle w:val="ListParagraph"/>
        <w:numPr>
          <w:ilvl w:val="0"/>
          <w:numId w:val="2"/>
        </w:numPr>
        <w:spacing w:after="80" w:line="480" w:lineRule="auto"/>
      </w:pPr>
      <w:r w:rsidRPr="00FA5D27">
        <w:t>Acknowledge model limitations and propose directions for future improvement</w:t>
      </w:r>
    </w:p>
    <w:p w14:paraId="44391619" w14:textId="77777777" w:rsidR="00CE131F" w:rsidRPr="00FA5D27" w:rsidRDefault="00000000">
      <w:pPr>
        <w:pStyle w:val="Heading2"/>
        <w:rPr>
          <w:color w:val="auto"/>
        </w:rPr>
      </w:pPr>
      <w:r w:rsidRPr="00FA5D27">
        <w:rPr>
          <w:color w:val="auto"/>
        </w:rPr>
        <w:t>Organization of the Paper</w:t>
      </w:r>
    </w:p>
    <w:p w14:paraId="5D1186FF" w14:textId="77777777" w:rsidR="00CE131F" w:rsidRPr="00FA5D27" w:rsidRDefault="00000000">
      <w:pPr>
        <w:spacing w:after="160" w:line="480" w:lineRule="auto"/>
        <w:jc w:val="both"/>
      </w:pPr>
      <w:r w:rsidRPr="00FA5D27">
        <w:t>The remainder of this paper is organized as follows. Section 2 provides an overview of the dataset used. Section 3 describes the methods of analysis, including data preparation, modeling approaches, and evaluation methodology. Section 4 presents results and findings from the analysis. Section 5 offers conclusions and actionable business recommendations. References are provided at the close of the paper, and Python code is included as an appendix.</w:t>
      </w:r>
    </w:p>
    <w:p w14:paraId="0474D8EE" w14:textId="77777777" w:rsidR="00CE131F" w:rsidRPr="00FA5D27" w:rsidRDefault="00000000">
      <w:r w:rsidRPr="00FA5D27">
        <w:br w:type="page"/>
      </w:r>
    </w:p>
    <w:p w14:paraId="11B2D258" w14:textId="77777777" w:rsidR="00CE131F" w:rsidRPr="00FA5D27" w:rsidRDefault="00000000">
      <w:pPr>
        <w:pStyle w:val="Heading1"/>
        <w:rPr>
          <w:color w:val="auto"/>
        </w:rPr>
      </w:pPr>
      <w:r w:rsidRPr="00FA5D27">
        <w:rPr>
          <w:color w:val="auto"/>
        </w:rPr>
        <w:lastRenderedPageBreak/>
        <w:t>Overview of Data Used</w:t>
      </w:r>
    </w:p>
    <w:p w14:paraId="143C3012" w14:textId="77777777" w:rsidR="00CE131F" w:rsidRPr="00FA5D27" w:rsidRDefault="00000000">
      <w:pPr>
        <w:pStyle w:val="Heading2"/>
        <w:rPr>
          <w:color w:val="auto"/>
        </w:rPr>
      </w:pPr>
      <w:r w:rsidRPr="00FA5D27">
        <w:rPr>
          <w:color w:val="auto"/>
        </w:rPr>
        <w:t>Dataset Source and Description</w:t>
      </w:r>
    </w:p>
    <w:p w14:paraId="640CDB8F" w14:textId="26270EBA" w:rsidR="00CE131F" w:rsidRPr="00FA5D27" w:rsidRDefault="00000000">
      <w:pPr>
        <w:spacing w:after="160" w:line="480" w:lineRule="auto"/>
        <w:jc w:val="both"/>
      </w:pPr>
      <w:r w:rsidRPr="00FA5D27">
        <w:t xml:space="preserve">This analysis utilizes the Telco Customer Churn dataset, a widely referenced benchmark dataset made available through Kaggle by IBM and originally designed to illustrate customer analytics use cases in the telecommunications industry (IBM Sample Data Sets, 2023). The dataset is publicly </w:t>
      </w:r>
      <w:r w:rsidR="00BC673C">
        <w:t>available and has been widely used</w:t>
      </w:r>
      <w:r w:rsidRPr="00FA5D27">
        <w:t xml:space="preserve"> in academic and applied machine learning research on churn prediction.</w:t>
      </w:r>
    </w:p>
    <w:p w14:paraId="5C4FDF8E" w14:textId="41B569DE" w:rsidR="00CE131F" w:rsidRPr="00FA5D27" w:rsidRDefault="00000000">
      <w:pPr>
        <w:spacing w:after="160" w:line="480" w:lineRule="auto"/>
        <w:jc w:val="both"/>
      </w:pPr>
      <w:r w:rsidRPr="00FA5D27">
        <w:t>The dataset contains 7,043 customer records and 21 columns. Each record represents a unique customer account and captures information across four broad categories: customer demographics, account and contract information, services subscribed</w:t>
      </w:r>
      <w:r w:rsidR="0040672E" w:rsidRPr="00FA5D27">
        <w:t xml:space="preserve"> to</w:t>
      </w:r>
      <w:r w:rsidRPr="00FA5D27">
        <w:t>, and billing details. The binary target variable, Churn, records whether the customer left the company within the last month.</w:t>
      </w:r>
    </w:p>
    <w:p w14:paraId="7F4025EC" w14:textId="77777777" w:rsidR="00CE131F" w:rsidRPr="00FA5D27" w:rsidRDefault="00000000">
      <w:pPr>
        <w:pStyle w:val="Heading2"/>
        <w:rPr>
          <w:color w:val="auto"/>
        </w:rPr>
      </w:pPr>
      <w:r w:rsidRPr="00FA5D27">
        <w:rPr>
          <w:color w:val="auto"/>
        </w:rPr>
        <w:t>Feature Overview</w:t>
      </w:r>
    </w:p>
    <w:p w14:paraId="5AFBB8AF" w14:textId="77777777" w:rsidR="00CE131F" w:rsidRPr="00FA5D27" w:rsidRDefault="00000000">
      <w:pPr>
        <w:spacing w:after="160" w:line="480" w:lineRule="auto"/>
        <w:jc w:val="both"/>
      </w:pPr>
      <w:r w:rsidRPr="00FA5D27">
        <w:t>Table 1 summarizes the feature categories and individual variables included in the dataset.</w:t>
      </w:r>
    </w:p>
    <w:p w14:paraId="05E8E56C" w14:textId="77777777" w:rsidR="00CE131F" w:rsidRPr="00FA5D27" w:rsidRDefault="00CE131F"/>
    <w:p w14:paraId="52B61D86" w14:textId="77777777" w:rsidR="00CE131F" w:rsidRPr="00FA5D27" w:rsidRDefault="00000000">
      <w:pPr>
        <w:spacing w:after="80"/>
        <w:jc w:val="center"/>
      </w:pPr>
      <w:r w:rsidRPr="00FA5D27">
        <w:rPr>
          <w:b/>
          <w:bCs/>
          <w:i/>
          <w:iCs/>
          <w:sz w:val="22"/>
          <w:szCs w:val="22"/>
        </w:rPr>
        <w:t>Table 1</w:t>
      </w:r>
    </w:p>
    <w:p w14:paraId="2F978DD9" w14:textId="77777777" w:rsidR="00CE131F" w:rsidRPr="00FA5D27" w:rsidRDefault="00000000">
      <w:pPr>
        <w:spacing w:after="120"/>
        <w:jc w:val="center"/>
      </w:pPr>
      <w:r w:rsidRPr="00FA5D27">
        <w:rPr>
          <w:b/>
          <w:bCs/>
          <w:sz w:val="22"/>
          <w:szCs w:val="22"/>
        </w:rPr>
        <w:t>Telco Customer Churn Dataset: Feature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800"/>
        <w:gridCol w:w="2560"/>
      </w:tblGrid>
      <w:tr w:rsidR="00CE131F" w:rsidRPr="00FA5D27" w14:paraId="4E6E193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4299472" w14:textId="77777777" w:rsidR="00CE131F" w:rsidRPr="00FA5D27" w:rsidRDefault="00000000">
            <w:r w:rsidRPr="00FA5D27">
              <w:rPr>
                <w:b/>
                <w:bCs/>
                <w:sz w:val="20"/>
                <w:szCs w:val="20"/>
              </w:rPr>
              <w:t>Category</w:t>
            </w:r>
          </w:p>
        </w:tc>
        <w:tc>
          <w:tcPr>
            <w:tcW w:w="4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30D8B8" w14:textId="77777777" w:rsidR="00CE131F" w:rsidRPr="00FA5D27" w:rsidRDefault="00000000">
            <w:r w:rsidRPr="00FA5D27">
              <w:rPr>
                <w:b/>
                <w:bCs/>
                <w:sz w:val="20"/>
                <w:szCs w:val="20"/>
              </w:rPr>
              <w:t>Features</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F6D5A0" w14:textId="77777777" w:rsidR="00CE131F" w:rsidRPr="00FA5D27" w:rsidRDefault="00000000">
            <w:r w:rsidRPr="00FA5D27">
              <w:rPr>
                <w:b/>
                <w:bCs/>
                <w:sz w:val="20"/>
                <w:szCs w:val="20"/>
              </w:rPr>
              <w:t>Data Type</w:t>
            </w:r>
          </w:p>
        </w:tc>
      </w:tr>
      <w:tr w:rsidR="00CE131F" w:rsidRPr="00FA5D27" w14:paraId="2D8886B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B2940" w14:textId="77777777" w:rsidR="00CE131F" w:rsidRPr="00FA5D27" w:rsidRDefault="00000000">
            <w:r w:rsidRPr="00FA5D27">
              <w:rPr>
                <w:sz w:val="20"/>
                <w:szCs w:val="20"/>
              </w:rPr>
              <w:t>Demographics</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A7243" w14:textId="77777777" w:rsidR="00CE131F" w:rsidRPr="00FA5D27" w:rsidRDefault="00000000">
            <w:r w:rsidRPr="00FA5D27">
              <w:rPr>
                <w:sz w:val="20"/>
                <w:szCs w:val="20"/>
              </w:rPr>
              <w:t>Gender, SeniorCitizen, Partner, Dependents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FE5179" w14:textId="77777777" w:rsidR="00CE131F" w:rsidRPr="00FA5D27" w:rsidRDefault="00000000">
            <w:r w:rsidRPr="00FA5D27">
              <w:rPr>
                <w:sz w:val="20"/>
                <w:szCs w:val="20"/>
              </w:rPr>
              <w:t>Categorical / Binary</w:t>
            </w:r>
          </w:p>
        </w:tc>
      </w:tr>
      <w:tr w:rsidR="00CE131F" w:rsidRPr="00FA5D27" w14:paraId="29A43DE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A41854" w14:textId="77777777" w:rsidR="00CE131F" w:rsidRPr="00FA5D27" w:rsidRDefault="00000000">
            <w:r w:rsidRPr="00FA5D27">
              <w:rPr>
                <w:sz w:val="20"/>
                <w:szCs w:val="20"/>
              </w:rPr>
              <w:t>Account Information</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463B29" w14:textId="77777777" w:rsidR="00CE131F" w:rsidRPr="00FA5D27" w:rsidRDefault="00000000">
            <w:r w:rsidRPr="00FA5D27">
              <w:rPr>
                <w:sz w:val="20"/>
                <w:szCs w:val="20"/>
              </w:rPr>
              <w:t>Tenure, Contract Type, Payment Method</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587C45" w14:textId="77777777" w:rsidR="00CE131F" w:rsidRPr="00FA5D27" w:rsidRDefault="00000000">
            <w:r w:rsidRPr="00FA5D27">
              <w:rPr>
                <w:sz w:val="20"/>
                <w:szCs w:val="20"/>
              </w:rPr>
              <w:t>Numeric / Categorical</w:t>
            </w:r>
          </w:p>
        </w:tc>
      </w:tr>
      <w:tr w:rsidR="00CE131F" w:rsidRPr="00FA5D27" w14:paraId="5B164FE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E6C046" w14:textId="77777777" w:rsidR="00CE131F" w:rsidRPr="00FA5D27" w:rsidRDefault="00000000">
            <w:r w:rsidRPr="00FA5D27">
              <w:rPr>
                <w:sz w:val="20"/>
                <w:szCs w:val="20"/>
              </w:rPr>
              <w:t>Services Subscribed</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6B079B" w14:textId="77777777" w:rsidR="00CE131F" w:rsidRPr="00FA5D27" w:rsidRDefault="00000000">
            <w:r w:rsidRPr="00FA5D27">
              <w:rPr>
                <w:sz w:val="20"/>
                <w:szCs w:val="20"/>
              </w:rPr>
              <w:t>Internet Service, Online Security, Online Backup, Device Protection, Tech Support, Streaming TV, Streaming Movies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0FBEC5" w14:textId="77777777" w:rsidR="00CE131F" w:rsidRPr="00FA5D27" w:rsidRDefault="00000000">
            <w:r w:rsidRPr="00FA5D27">
              <w:rPr>
                <w:sz w:val="20"/>
                <w:szCs w:val="20"/>
              </w:rPr>
              <w:t>Categorical (Yes/No/No internet)</w:t>
            </w:r>
          </w:p>
        </w:tc>
      </w:tr>
      <w:tr w:rsidR="00CE131F" w:rsidRPr="00FA5D27" w14:paraId="331894B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41D93" w14:textId="77777777" w:rsidR="00CE131F" w:rsidRPr="00FA5D27" w:rsidRDefault="00000000">
            <w:r w:rsidRPr="00FA5D27">
              <w:rPr>
                <w:sz w:val="20"/>
                <w:szCs w:val="20"/>
              </w:rPr>
              <w:t>Billing</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F3CE8" w14:textId="77777777" w:rsidR="00CE131F" w:rsidRPr="00FA5D27" w:rsidRDefault="00000000">
            <w:r w:rsidRPr="00FA5D27">
              <w:rPr>
                <w:sz w:val="20"/>
                <w:szCs w:val="20"/>
              </w:rPr>
              <w:t>MonthlyCharges, TotalCharges, PaperlessBilling</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08C70" w14:textId="77777777" w:rsidR="00CE131F" w:rsidRPr="00FA5D27" w:rsidRDefault="00000000">
            <w:r w:rsidRPr="00FA5D27">
              <w:rPr>
                <w:sz w:val="20"/>
                <w:szCs w:val="20"/>
              </w:rPr>
              <w:t>Numeric / Binary</w:t>
            </w:r>
          </w:p>
        </w:tc>
      </w:tr>
      <w:tr w:rsidR="00CE131F" w:rsidRPr="00FA5D27" w14:paraId="1894F12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0DAC6F" w14:textId="77777777" w:rsidR="00CE131F" w:rsidRPr="00FA5D27" w:rsidRDefault="00000000">
            <w:r w:rsidRPr="00FA5D27">
              <w:rPr>
                <w:sz w:val="20"/>
                <w:szCs w:val="20"/>
              </w:rPr>
              <w:t>Target Variable</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CFF82" w14:textId="77777777" w:rsidR="00CE131F" w:rsidRPr="00FA5D27" w:rsidRDefault="00000000">
            <w:r w:rsidRPr="00FA5D27">
              <w:rPr>
                <w:sz w:val="20"/>
                <w:szCs w:val="20"/>
              </w:rPr>
              <w:t>Churn (Yes / No)</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02E841" w14:textId="77777777" w:rsidR="00CE131F" w:rsidRPr="00FA5D27" w:rsidRDefault="00000000">
            <w:r w:rsidRPr="00FA5D27">
              <w:rPr>
                <w:sz w:val="20"/>
                <w:szCs w:val="20"/>
              </w:rPr>
              <w:t>Binary</w:t>
            </w:r>
          </w:p>
        </w:tc>
      </w:tr>
    </w:tbl>
    <w:p w14:paraId="24F3984B" w14:textId="77777777" w:rsidR="00CE131F" w:rsidRPr="00FA5D27" w:rsidRDefault="00CE131F"/>
    <w:p w14:paraId="30264126" w14:textId="77777777" w:rsidR="00CE131F" w:rsidRPr="00FA5D27" w:rsidRDefault="00000000">
      <w:pPr>
        <w:pStyle w:val="Heading2"/>
        <w:rPr>
          <w:color w:val="auto"/>
        </w:rPr>
      </w:pPr>
      <w:r w:rsidRPr="00FA5D27">
        <w:rPr>
          <w:color w:val="auto"/>
        </w:rPr>
        <w:lastRenderedPageBreak/>
        <w:t>Data Quality Observations</w:t>
      </w:r>
    </w:p>
    <w:p w14:paraId="469E28B8" w14:textId="65C76667" w:rsidR="00CE131F" w:rsidRPr="00FA5D27" w:rsidRDefault="00000000">
      <w:pPr>
        <w:spacing w:after="160" w:line="480" w:lineRule="auto"/>
        <w:jc w:val="both"/>
      </w:pPr>
      <w:r w:rsidRPr="00FA5D27">
        <w:t xml:space="preserve">Upon initial inspection, the dataset presented one notable data quality issue: the TotalCharges column, which should contain numeric billing totals, was stored as a string (object dtype) in the raw CSV file. This occurred because 11 records for brand-new customers (tenure = 0 months) contained blank strings </w:t>
      </w:r>
      <w:r w:rsidR="0040672E" w:rsidRPr="00FA5D27">
        <w:t>rather than numeric values</w:t>
      </w:r>
      <w:r w:rsidRPr="00FA5D27">
        <w:t>. These blank entries were coerced to NaN using pandas' to_numeric function with errors='coerce</w:t>
      </w:r>
      <w:r w:rsidR="0040672E" w:rsidRPr="00FA5D27">
        <w:t>’ and</w:t>
      </w:r>
      <w:r w:rsidRPr="00FA5D27">
        <w:t xml:space="preserve"> subsequently imputed with the column median. No other missing values were present in the dataset. The customerID column—a non-predictive unique identifier</w:t>
      </w:r>
      <w:r w:rsidR="0040672E" w:rsidRPr="00FA5D27">
        <w:t xml:space="preserve"> </w:t>
      </w:r>
      <w:r w:rsidRPr="00FA5D27">
        <w:t>was removed prior to modeling.</w:t>
      </w:r>
    </w:p>
    <w:p w14:paraId="3C8CF37C" w14:textId="77777777" w:rsidR="00CE131F" w:rsidRPr="00FA5D27" w:rsidRDefault="00000000">
      <w:pPr>
        <w:pStyle w:val="Heading2"/>
        <w:rPr>
          <w:color w:val="auto"/>
        </w:rPr>
      </w:pPr>
      <w:r w:rsidRPr="00FA5D27">
        <w:rPr>
          <w:color w:val="auto"/>
        </w:rPr>
        <w:t>Target Variable Distribution</w:t>
      </w:r>
    </w:p>
    <w:p w14:paraId="0665B152" w14:textId="70B1D7AD" w:rsidR="00CE131F" w:rsidRPr="00FA5D27" w:rsidRDefault="00000000">
      <w:pPr>
        <w:spacing w:after="160" w:line="480" w:lineRule="auto"/>
        <w:jc w:val="both"/>
      </w:pPr>
      <w:r w:rsidRPr="00FA5D27">
        <w:t>The dataset reflects a meaningful class imbalance in the target variable. Of 7,043 customers, 5,174 (73.5%) did not churn</w:t>
      </w:r>
      <w:r w:rsidR="00BB2F0C" w:rsidRPr="00FA5D27">
        <w:t>,</w:t>
      </w:r>
      <w:r w:rsidRPr="00FA5D27">
        <w:t xml:space="preserve"> and 1,869 (26.5%) did churn. This approximately 74:26 split is consistent with typical telecom churn rates and </w:t>
      </w:r>
      <w:r w:rsidR="00BB2F0C" w:rsidRPr="00FA5D27">
        <w:t>requires</w:t>
      </w:r>
      <w:r w:rsidRPr="00FA5D27">
        <w:t xml:space="preserve"> deliberate handling during model training. Without correction, a naive classifier could achieve 73.5% accuracy by predicting </w:t>
      </w:r>
      <w:r w:rsidR="00BB2F0C" w:rsidRPr="00FA5D27">
        <w:t xml:space="preserve">that no one churns, </w:t>
      </w:r>
      <w:r w:rsidRPr="00FA5D27">
        <w:t>a misleading performance metric that masks the model's complete failure to identify actual churners.</w:t>
      </w:r>
    </w:p>
    <w:p w14:paraId="06503F08" w14:textId="77777777" w:rsidR="00CE131F" w:rsidRPr="00FA5D27" w:rsidRDefault="00000000">
      <w:pPr>
        <w:pStyle w:val="Heading2"/>
        <w:rPr>
          <w:color w:val="auto"/>
        </w:rPr>
      </w:pPr>
      <w:r w:rsidRPr="00FA5D27">
        <w:rPr>
          <w:color w:val="auto"/>
        </w:rPr>
        <w:t>Key Distributional Characteristics</w:t>
      </w:r>
    </w:p>
    <w:p w14:paraId="312D04AB" w14:textId="7FFDFE7A" w:rsidR="00CE131F" w:rsidRPr="00FA5D27" w:rsidRDefault="00000000" w:rsidP="00BB2F0C">
      <w:pPr>
        <w:spacing w:after="160" w:line="480" w:lineRule="auto"/>
        <w:jc w:val="both"/>
      </w:pPr>
      <w:r w:rsidRPr="00FA5D27">
        <w:t xml:space="preserve">Exploratory analysis revealed several important distributional patterns. Customers on month-to-month contracts churned at substantially higher rates than those on one- or two-year contracts. Customers with higher monthly charges showed </w:t>
      </w:r>
      <w:r w:rsidR="00BB2F0C" w:rsidRPr="00FA5D27">
        <w:t>higher churn propensity, consistent with price-sensitivity</w:t>
      </w:r>
      <w:r w:rsidRPr="00FA5D27">
        <w:t xml:space="preserve"> effects. Customers with shorter tenure (fewer months as </w:t>
      </w:r>
      <w:r w:rsidR="00BB2F0C" w:rsidRPr="00FA5D27">
        <w:t>customers) were disproportionately represented among churners, indicating that the early tenure period is</w:t>
      </w:r>
      <w:r w:rsidRPr="00FA5D27">
        <w:t xml:space="preserve"> a critical retention window. </w:t>
      </w:r>
      <w:r w:rsidR="00BB2F0C" w:rsidRPr="00FA5D27">
        <w:t xml:space="preserve">Fiber-optic internet customers exhibited counterintuitively higher </w:t>
      </w:r>
      <w:r w:rsidR="00BB2F0C" w:rsidRPr="00FA5D27">
        <w:lastRenderedPageBreak/>
        <w:t xml:space="preserve">churn rates than DSL customers, suggesting potential price-value </w:t>
      </w:r>
      <w:r w:rsidRPr="00FA5D27">
        <w:t xml:space="preserve">gaps in the premium tier. Service add-on </w:t>
      </w:r>
      <w:r w:rsidR="00BB2F0C" w:rsidRPr="00FA5D27">
        <w:t xml:space="preserve">adoption, </w:t>
      </w:r>
      <w:r w:rsidRPr="00FA5D27">
        <w:t>particularly online security and tech support</w:t>
      </w:r>
      <w:r w:rsidR="00BB2F0C" w:rsidRPr="00FA5D27">
        <w:t xml:space="preserve">, </w:t>
      </w:r>
      <w:r w:rsidRPr="00FA5D27">
        <w:t>was negatively correlated with churn, indicating that deeper product engagement reduces churn risk.</w:t>
      </w:r>
    </w:p>
    <w:p w14:paraId="2718D084" w14:textId="77777777" w:rsidR="00CE131F" w:rsidRPr="00FA5D27" w:rsidRDefault="00000000">
      <w:pPr>
        <w:pStyle w:val="Heading1"/>
        <w:rPr>
          <w:color w:val="auto"/>
        </w:rPr>
      </w:pPr>
      <w:r w:rsidRPr="00FA5D27">
        <w:rPr>
          <w:color w:val="auto"/>
        </w:rPr>
        <w:t>Methods of Analysis</w:t>
      </w:r>
    </w:p>
    <w:p w14:paraId="7E041ADC" w14:textId="77777777" w:rsidR="00CE131F" w:rsidRPr="00FA5D27" w:rsidRDefault="00000000">
      <w:pPr>
        <w:pStyle w:val="Heading2"/>
        <w:rPr>
          <w:color w:val="auto"/>
        </w:rPr>
      </w:pPr>
      <w:r w:rsidRPr="00FA5D27">
        <w:rPr>
          <w:color w:val="auto"/>
        </w:rPr>
        <w:t>Analytical Framework</w:t>
      </w:r>
    </w:p>
    <w:p w14:paraId="7E8771FD" w14:textId="7801B943" w:rsidR="00CE131F" w:rsidRPr="00FA5D27" w:rsidRDefault="00000000">
      <w:pPr>
        <w:spacing w:after="160" w:line="480" w:lineRule="auto"/>
        <w:jc w:val="both"/>
      </w:pPr>
      <w:r w:rsidRPr="00FA5D27">
        <w:t xml:space="preserve">This project employed a supervised binary classification framework, with customer churn (Yes/No) as the target variable. The analytical pipeline followed seven sequential stages: data ingestion and quality audit, preprocessing and feature engineering, train/test split, class imbalance correction, feature scaling, model training and evaluation, and hyperparameter optimization. All </w:t>
      </w:r>
      <w:r w:rsidR="00BB2F0C" w:rsidRPr="00FA5D27">
        <w:t>analyses were</w:t>
      </w:r>
      <w:r w:rsidRPr="00FA5D27">
        <w:t xml:space="preserve"> conducted in Python 3 using the scikit-learn, imbalanced-learn, and </w:t>
      </w:r>
      <w:r w:rsidR="00174849" w:rsidRPr="00FA5D27">
        <w:t>pandas’</w:t>
      </w:r>
      <w:r w:rsidRPr="00FA5D27">
        <w:t xml:space="preserve"> libraries.</w:t>
      </w:r>
    </w:p>
    <w:p w14:paraId="2D2CF1B8" w14:textId="77777777" w:rsidR="00CE131F" w:rsidRPr="00FA5D27" w:rsidRDefault="00000000">
      <w:pPr>
        <w:pStyle w:val="Heading2"/>
        <w:rPr>
          <w:color w:val="auto"/>
        </w:rPr>
      </w:pPr>
      <w:r w:rsidRPr="00FA5D27">
        <w:rPr>
          <w:color w:val="auto"/>
        </w:rPr>
        <w:t>Data Preparation</w:t>
      </w:r>
    </w:p>
    <w:p w14:paraId="3041EE98" w14:textId="77777777" w:rsidR="00CE131F" w:rsidRPr="00FA5D27" w:rsidRDefault="00000000">
      <w:pPr>
        <w:pStyle w:val="Heading3"/>
        <w:rPr>
          <w:color w:val="auto"/>
        </w:rPr>
      </w:pPr>
      <w:r w:rsidRPr="00FA5D27">
        <w:rPr>
          <w:color w:val="auto"/>
        </w:rPr>
        <w:t>Type Correction and Missing Value Imputation</w:t>
      </w:r>
    </w:p>
    <w:p w14:paraId="6C6B1362" w14:textId="77777777" w:rsidR="00CE131F" w:rsidRPr="00FA5D27" w:rsidRDefault="00000000">
      <w:pPr>
        <w:spacing w:after="160" w:line="480" w:lineRule="auto"/>
        <w:jc w:val="both"/>
      </w:pPr>
      <w:r w:rsidRPr="00FA5D27">
        <w:t>The TotalCharges column was converted from string to float64 using pd.to_numeric() with errors='coerce', surfacing 11 missing values. These were imputed using the column median—a robust central tendency measure that is resistant to the right-skewed distribution of billing amounts. The customerID column was dropped as a non-predictive identifier.</w:t>
      </w:r>
    </w:p>
    <w:p w14:paraId="62D39275" w14:textId="77777777" w:rsidR="00CE131F" w:rsidRPr="00FA5D27" w:rsidRDefault="00000000">
      <w:pPr>
        <w:pStyle w:val="Heading3"/>
        <w:rPr>
          <w:color w:val="auto"/>
        </w:rPr>
      </w:pPr>
      <w:r w:rsidRPr="00FA5D27">
        <w:rPr>
          <w:color w:val="auto"/>
        </w:rPr>
        <w:t>Categorical Encoding</w:t>
      </w:r>
    </w:p>
    <w:p w14:paraId="69A67615" w14:textId="77777777" w:rsidR="00CE131F" w:rsidRPr="00FA5D27" w:rsidRDefault="00000000">
      <w:pPr>
        <w:spacing w:after="160" w:line="480" w:lineRule="auto"/>
        <w:jc w:val="both"/>
      </w:pPr>
      <w:r w:rsidRPr="00FA5D27">
        <w:t xml:space="preserve">All categorical columns were encoded as numeric values using sklearn's LabelEncoder. The binary target variable Churn was mapped directly (Yes = 1, No = 0). While LabelEncoder imposes an ordinal interpretation on nominal variables, this approach was adopted for computational </w:t>
      </w:r>
      <w:r w:rsidRPr="00FA5D27">
        <w:lastRenderedPageBreak/>
        <w:t>efficiency across models. Future work should evaluate one-hot encoding for multi-class nominal features such as PaymentMethod, Contract, and InternetService.</w:t>
      </w:r>
    </w:p>
    <w:p w14:paraId="320CECD4" w14:textId="77777777" w:rsidR="00CE131F" w:rsidRPr="00FA5D27" w:rsidRDefault="00000000">
      <w:pPr>
        <w:pStyle w:val="Heading3"/>
        <w:rPr>
          <w:color w:val="auto"/>
        </w:rPr>
      </w:pPr>
      <w:r w:rsidRPr="00FA5D27">
        <w:rPr>
          <w:color w:val="auto"/>
        </w:rPr>
        <w:t>Train/Test Split</w:t>
      </w:r>
    </w:p>
    <w:p w14:paraId="34E65BC1" w14:textId="77777777" w:rsidR="00CE131F" w:rsidRPr="00FA5D27" w:rsidRDefault="00000000">
      <w:pPr>
        <w:spacing w:after="160" w:line="480" w:lineRule="auto"/>
        <w:jc w:val="both"/>
      </w:pPr>
      <w:r w:rsidRPr="00FA5D27">
        <w:t>The dataset was divided into training (80%) and testing (20%) subsets using sklearn's train_test_split with stratify=y. Stratified sampling ensures the 74:26 churn-to-non-churn ratio is preserved in both subsets, preventing evaluation bias from an unrepresentative test set. The test set contained 1,407 customer records (374 churners, 1,033 non-churners).</w:t>
      </w:r>
    </w:p>
    <w:p w14:paraId="045AD3AF" w14:textId="77777777" w:rsidR="00CE131F" w:rsidRPr="00FA5D27" w:rsidRDefault="00000000">
      <w:pPr>
        <w:pStyle w:val="Heading3"/>
        <w:rPr>
          <w:color w:val="auto"/>
        </w:rPr>
      </w:pPr>
      <w:r w:rsidRPr="00FA5D27">
        <w:rPr>
          <w:color w:val="auto"/>
        </w:rPr>
        <w:t>Class Imbalance Correction via SMOTE</w:t>
      </w:r>
    </w:p>
    <w:p w14:paraId="2B778883" w14:textId="39B9BA0F" w:rsidR="00CE131F" w:rsidRPr="00FA5D27" w:rsidRDefault="00000000">
      <w:pPr>
        <w:spacing w:after="160" w:line="480" w:lineRule="auto"/>
        <w:jc w:val="both"/>
      </w:pPr>
      <w:r w:rsidRPr="00FA5D27">
        <w:t xml:space="preserve">The training set reflected the dataset's natural 74:26 imbalance. Without correction, classifiers tend to optimize accuracy by predicting the majority class, </w:t>
      </w:r>
      <w:r w:rsidR="00BB2F0C" w:rsidRPr="00FA5D27">
        <w:t>resulting in poor recall for</w:t>
      </w:r>
      <w:r w:rsidRPr="00FA5D27">
        <w:t xml:space="preserve"> </w:t>
      </w:r>
      <w:r w:rsidR="00BB2F0C" w:rsidRPr="00FA5D27">
        <w:t xml:space="preserve">churners, </w:t>
      </w:r>
      <w:r w:rsidRPr="00FA5D27">
        <w:t xml:space="preserve">the most business-critical prediction. SMOTE (Synthetic Minority Oversampling Technique) was applied exclusively to the training set to generate synthetic minority-class samples and balance the training distribution to 50:50. Critically, SMOTE was not applied to the test set, which preserved the natural class proportions, ensuring </w:t>
      </w:r>
      <w:r w:rsidR="00BB2F0C" w:rsidRPr="00FA5D27">
        <w:t>that evaluation metrics reflect real-world deployment conditions rather than</w:t>
      </w:r>
      <w:r w:rsidRPr="00FA5D27">
        <w:t xml:space="preserve"> an artificially balanced environment.</w:t>
      </w:r>
    </w:p>
    <w:p w14:paraId="23BCDC50" w14:textId="77777777" w:rsidR="00CE131F" w:rsidRPr="00FA5D27" w:rsidRDefault="00000000">
      <w:pPr>
        <w:pStyle w:val="Heading3"/>
        <w:rPr>
          <w:color w:val="auto"/>
        </w:rPr>
      </w:pPr>
      <w:r w:rsidRPr="00FA5D27">
        <w:rPr>
          <w:color w:val="auto"/>
        </w:rPr>
        <w:t>Feature Scaling</w:t>
      </w:r>
    </w:p>
    <w:p w14:paraId="1F5CB0EC" w14:textId="5CEDB1F4" w:rsidR="00CE131F" w:rsidRPr="00FA5D27" w:rsidRDefault="00000000">
      <w:pPr>
        <w:spacing w:after="160" w:line="480" w:lineRule="auto"/>
        <w:jc w:val="both"/>
      </w:pPr>
      <w:r w:rsidRPr="00FA5D27">
        <w:t xml:space="preserve">StandardScaler was applied to normalize feature magnitudes for Logistic Regression, which optimizes coefficient weights proportional to feature scale and is sensitive to magnitude differences. The scaler </w:t>
      </w:r>
      <w:r w:rsidR="00BB2F0C" w:rsidRPr="00FA5D27">
        <w:t>was fitted</w:t>
      </w:r>
      <w:r w:rsidRPr="00FA5D27">
        <w:t xml:space="preserve"> on the SMOTE-augmented training data and subsequently applied (without re-fitting) to the test data, preventing data leakage from the test set into the scaling parameters. Tree-based models (Decision Tree, Random Forest, Gradient Boosting) are inherently scale-invariant and </w:t>
      </w:r>
      <w:r w:rsidR="00BB2F0C" w:rsidRPr="00FA5D27">
        <w:t>use</w:t>
      </w:r>
      <w:r w:rsidRPr="00FA5D27">
        <w:t xml:space="preserve"> the unscaled resampled training data directly.</w:t>
      </w:r>
    </w:p>
    <w:p w14:paraId="41FC08A1" w14:textId="77777777" w:rsidR="00CE131F" w:rsidRPr="00FA5D27" w:rsidRDefault="00000000">
      <w:pPr>
        <w:pStyle w:val="Heading2"/>
        <w:rPr>
          <w:color w:val="auto"/>
        </w:rPr>
      </w:pPr>
      <w:r w:rsidRPr="00FA5D27">
        <w:rPr>
          <w:color w:val="auto"/>
        </w:rPr>
        <w:lastRenderedPageBreak/>
        <w:t>Model Selection Rationale</w:t>
      </w:r>
    </w:p>
    <w:p w14:paraId="7CE3D97B" w14:textId="77777777" w:rsidR="00CE131F" w:rsidRPr="00FA5D27" w:rsidRDefault="00000000">
      <w:pPr>
        <w:spacing w:after="160" w:line="480" w:lineRule="auto"/>
        <w:jc w:val="both"/>
      </w:pPr>
      <w:r w:rsidRPr="00FA5D27">
        <w:t>Four classification algorithms were selected to span the spectrum from interpretable baseline models to complex ensemble methods.</w:t>
      </w:r>
    </w:p>
    <w:p w14:paraId="4C1B5173" w14:textId="77777777" w:rsidR="00CE131F" w:rsidRPr="00FA5D27" w:rsidRDefault="00CE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00"/>
        <w:gridCol w:w="3660"/>
      </w:tblGrid>
      <w:tr w:rsidR="00CE131F" w:rsidRPr="00FA5D27" w14:paraId="207F55D0"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1075BA" w14:textId="77777777" w:rsidR="00CE131F" w:rsidRPr="00FA5D27" w:rsidRDefault="00000000">
            <w:r w:rsidRPr="00FA5D27">
              <w:rPr>
                <w:b/>
                <w:bCs/>
                <w:sz w:val="20"/>
                <w:szCs w:val="20"/>
              </w:rPr>
              <w:t>Model</w:t>
            </w:r>
          </w:p>
        </w:tc>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5814F50" w14:textId="77777777" w:rsidR="00CE131F" w:rsidRPr="00FA5D27" w:rsidRDefault="00000000">
            <w:r w:rsidRPr="00FA5D27">
              <w:rPr>
                <w:b/>
                <w:bCs/>
                <w:sz w:val="20"/>
                <w:szCs w:val="20"/>
              </w:rPr>
              <w:t>Rationale</w:t>
            </w:r>
          </w:p>
        </w:tc>
        <w:tc>
          <w:tcPr>
            <w:tcW w:w="36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CCC9BBD" w14:textId="77777777" w:rsidR="00CE131F" w:rsidRPr="00FA5D27" w:rsidRDefault="00000000">
            <w:r w:rsidRPr="00FA5D27">
              <w:rPr>
                <w:b/>
                <w:bCs/>
                <w:sz w:val="20"/>
                <w:szCs w:val="20"/>
              </w:rPr>
              <w:t>Key Characteristics</w:t>
            </w:r>
          </w:p>
        </w:tc>
      </w:tr>
      <w:tr w:rsidR="00CE131F" w:rsidRPr="00FA5D27" w14:paraId="1D1177AC"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BD039" w14:textId="77777777" w:rsidR="00CE131F" w:rsidRPr="00FA5D27" w:rsidRDefault="00000000">
            <w:r w:rsidRPr="00FA5D27">
              <w:rPr>
                <w:sz w:val="20"/>
                <w:szCs w:val="20"/>
              </w:rPr>
              <w:t>Logistic Regression</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3FF55E" w14:textId="77777777" w:rsidR="00CE131F" w:rsidRPr="00FA5D27" w:rsidRDefault="00000000">
            <w:r w:rsidRPr="00FA5D27">
              <w:rPr>
                <w:sz w:val="20"/>
                <w:szCs w:val="20"/>
              </w:rPr>
              <w:t>Interpretable baseline; linear decision boundary; well-understood under class balance correction</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B50F1B" w14:textId="77777777" w:rsidR="00CE131F" w:rsidRPr="00FA5D27" w:rsidRDefault="00000000">
            <w:r w:rsidRPr="00FA5D27">
              <w:rPr>
                <w:sz w:val="20"/>
                <w:szCs w:val="20"/>
              </w:rPr>
              <w:t>Coefficients directly interpretable; requires feature scaling; probabilistic output</w:t>
            </w:r>
          </w:p>
        </w:tc>
      </w:tr>
      <w:tr w:rsidR="00CE131F" w:rsidRPr="00FA5D27" w14:paraId="0604C2FD"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8B470" w14:textId="77777777" w:rsidR="00CE131F" w:rsidRPr="00FA5D27" w:rsidRDefault="00000000">
            <w:r w:rsidRPr="00FA5D27">
              <w:rPr>
                <w:sz w:val="20"/>
                <w:szCs w:val="20"/>
              </w:rPr>
              <w:t>Decision Tree</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EF3F2" w14:textId="77777777" w:rsidR="00CE131F" w:rsidRPr="00FA5D27" w:rsidRDefault="00000000">
            <w:r w:rsidRPr="00FA5D27">
              <w:rPr>
                <w:sz w:val="20"/>
                <w:szCs w:val="20"/>
              </w:rPr>
              <w:t>Captures non-linear decision rules; fully interpretable structure; no scaling required</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15ACA" w14:textId="77777777" w:rsidR="00CE131F" w:rsidRPr="00FA5D27" w:rsidRDefault="00000000">
            <w:r w:rsidRPr="00FA5D27">
              <w:rPr>
                <w:sz w:val="20"/>
                <w:szCs w:val="20"/>
              </w:rPr>
              <w:t>Prone to overfitting without pruning; low bias, high variance</w:t>
            </w:r>
          </w:p>
        </w:tc>
      </w:tr>
      <w:tr w:rsidR="00CE131F" w:rsidRPr="00FA5D27" w14:paraId="2AB41512"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B921F2" w14:textId="77777777" w:rsidR="00CE131F" w:rsidRPr="00FA5D27" w:rsidRDefault="00000000">
            <w:r w:rsidRPr="00FA5D27">
              <w:rPr>
                <w:sz w:val="20"/>
                <w:szCs w:val="20"/>
              </w:rPr>
              <w:t>Random Forest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85066" w14:textId="77777777" w:rsidR="00CE131F" w:rsidRPr="00FA5D27" w:rsidRDefault="00000000">
            <w:r w:rsidRPr="00FA5D27">
              <w:rPr>
                <w:sz w:val="20"/>
                <w:szCs w:val="20"/>
              </w:rPr>
              <w:t>Ensemble of decorrelated trees; reduces overfitting via bagging; feature importance available</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15343" w14:textId="77777777" w:rsidR="00CE131F" w:rsidRPr="00FA5D27" w:rsidRDefault="00000000">
            <w:r w:rsidRPr="00FA5D27">
              <w:rPr>
                <w:sz w:val="20"/>
                <w:szCs w:val="20"/>
              </w:rPr>
              <w:t>100 estimators; robust to outliers; moderate compute cost</w:t>
            </w:r>
          </w:p>
        </w:tc>
      </w:tr>
      <w:tr w:rsidR="00CE131F" w:rsidRPr="00FA5D27" w14:paraId="257FFDF6"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99244F" w14:textId="77777777" w:rsidR="00CE131F" w:rsidRPr="00FA5D27" w:rsidRDefault="00000000">
            <w:r w:rsidRPr="00FA5D27">
              <w:rPr>
                <w:sz w:val="20"/>
                <w:szCs w:val="20"/>
              </w:rPr>
              <w:t>Gradient Boosting</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2E38F" w14:textId="66972BF0" w:rsidR="00CE131F" w:rsidRPr="00FA5D27" w:rsidRDefault="00000000">
            <w:r w:rsidRPr="00FA5D27">
              <w:rPr>
                <w:sz w:val="20"/>
                <w:szCs w:val="20"/>
              </w:rPr>
              <w:t xml:space="preserve">Sequential boosting; </w:t>
            </w:r>
            <w:r w:rsidR="00BB2F0C" w:rsidRPr="00FA5D27">
              <w:rPr>
                <w:sz w:val="20"/>
                <w:szCs w:val="20"/>
              </w:rPr>
              <w:t>typically,</w:t>
            </w:r>
            <w:r w:rsidRPr="00FA5D27">
              <w:rPr>
                <w:sz w:val="20"/>
                <w:szCs w:val="20"/>
              </w:rPr>
              <w:t xml:space="preserve"> </w:t>
            </w:r>
            <w:r w:rsidR="00BB2F0C" w:rsidRPr="00FA5D27">
              <w:rPr>
                <w:sz w:val="20"/>
                <w:szCs w:val="20"/>
              </w:rPr>
              <w:t xml:space="preserve">the </w:t>
            </w:r>
            <w:r w:rsidRPr="00FA5D27">
              <w:rPr>
                <w:sz w:val="20"/>
                <w:szCs w:val="20"/>
              </w:rPr>
              <w:t>highest predictive performance on tabular data; handles complex feature interactions</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B0BE43" w14:textId="77777777" w:rsidR="00CE131F" w:rsidRPr="00FA5D27" w:rsidRDefault="00000000">
            <w:r w:rsidRPr="00FA5D27">
              <w:rPr>
                <w:sz w:val="20"/>
                <w:szCs w:val="20"/>
              </w:rPr>
              <w:t>100 estimators; hyperparameter tuning applied via GridSearchCV</w:t>
            </w:r>
          </w:p>
        </w:tc>
      </w:tr>
    </w:tbl>
    <w:p w14:paraId="3A3E963E" w14:textId="77777777" w:rsidR="00CE131F" w:rsidRPr="00FA5D27" w:rsidRDefault="00CE131F"/>
    <w:p w14:paraId="0E169421" w14:textId="77777777" w:rsidR="00CE131F" w:rsidRPr="00FA5D27" w:rsidRDefault="00000000">
      <w:pPr>
        <w:pStyle w:val="Heading2"/>
        <w:rPr>
          <w:color w:val="auto"/>
        </w:rPr>
      </w:pPr>
      <w:r w:rsidRPr="00FA5D27">
        <w:rPr>
          <w:color w:val="auto"/>
        </w:rPr>
        <w:t>Model Evaluation Metrics</w:t>
      </w:r>
    </w:p>
    <w:p w14:paraId="133D7408" w14:textId="77777777" w:rsidR="00CE131F" w:rsidRPr="00FA5D27" w:rsidRDefault="00000000">
      <w:pPr>
        <w:spacing w:after="160" w:line="480" w:lineRule="auto"/>
        <w:jc w:val="both"/>
      </w:pPr>
      <w:r w:rsidRPr="00FA5D27">
        <w:t>Five metrics were used to evaluate model performance, chosen to capture different dimensions of classification quality relevant to the churn prediction business context.</w:t>
      </w:r>
    </w:p>
    <w:p w14:paraId="379919AB" w14:textId="5ECD98B7" w:rsidR="00CE131F" w:rsidRPr="00FA5D27" w:rsidRDefault="00000000">
      <w:pPr>
        <w:pStyle w:val="ListParagraph"/>
        <w:numPr>
          <w:ilvl w:val="0"/>
          <w:numId w:val="2"/>
        </w:numPr>
        <w:spacing w:after="80" w:line="480" w:lineRule="auto"/>
      </w:pPr>
      <w:r w:rsidRPr="00FA5D27">
        <w:t>ROC-AUC: Area under the receiver operating characteristic curve, measuring the probability that a randomly selected churner is ranked above a randomly selected non-churner. The primary ranking metric</w:t>
      </w:r>
      <w:r w:rsidR="00BB2F0C" w:rsidRPr="00FA5D27">
        <w:t xml:space="preserve"> is invariant to the </w:t>
      </w:r>
      <w:r w:rsidRPr="00FA5D27">
        <w:t>decision threshold.</w:t>
      </w:r>
    </w:p>
    <w:p w14:paraId="077A88E5" w14:textId="118418B8" w:rsidR="00CE131F" w:rsidRPr="00FA5D27" w:rsidRDefault="00000000">
      <w:pPr>
        <w:pStyle w:val="ListParagraph"/>
        <w:numPr>
          <w:ilvl w:val="0"/>
          <w:numId w:val="2"/>
        </w:numPr>
        <w:spacing w:after="80" w:line="480" w:lineRule="auto"/>
      </w:pPr>
      <w:r w:rsidRPr="00FA5D27">
        <w:t>Recall (Churn class): The proportion of actual churners correctly identified. Emphasized because false negatives</w:t>
      </w:r>
      <w:r w:rsidR="00BB2F0C" w:rsidRPr="00FA5D27">
        <w:t xml:space="preserve"> </w:t>
      </w:r>
      <w:r w:rsidRPr="00FA5D27">
        <w:t>missed churners</w:t>
      </w:r>
      <w:r w:rsidR="00BB2F0C" w:rsidRPr="00FA5D27">
        <w:t xml:space="preserve"> </w:t>
      </w:r>
      <w:r w:rsidRPr="00FA5D27">
        <w:t>carry the highest business cost.</w:t>
      </w:r>
    </w:p>
    <w:p w14:paraId="02E26F85" w14:textId="52BBD6F0" w:rsidR="00CE131F" w:rsidRPr="00FA5D27" w:rsidRDefault="00000000">
      <w:pPr>
        <w:pStyle w:val="ListParagraph"/>
        <w:numPr>
          <w:ilvl w:val="0"/>
          <w:numId w:val="2"/>
        </w:numPr>
        <w:spacing w:after="80" w:line="480" w:lineRule="auto"/>
      </w:pPr>
      <w:r w:rsidRPr="00FA5D27">
        <w:t xml:space="preserve">Precision (Churn class): The proportion of </w:t>
      </w:r>
      <w:r w:rsidR="00BF2AD5" w:rsidRPr="00FA5D27">
        <w:t>correct churn predictions</w:t>
      </w:r>
      <w:r w:rsidRPr="00FA5D27">
        <w:t>. Tracks the false alarm rate; high false positives waste retention budget.</w:t>
      </w:r>
    </w:p>
    <w:p w14:paraId="43DCE8E1" w14:textId="0F162CD0" w:rsidR="00CE131F" w:rsidRPr="00FA5D27" w:rsidRDefault="00000000">
      <w:pPr>
        <w:pStyle w:val="ListParagraph"/>
        <w:numPr>
          <w:ilvl w:val="0"/>
          <w:numId w:val="2"/>
        </w:numPr>
        <w:spacing w:after="80" w:line="480" w:lineRule="auto"/>
      </w:pPr>
      <w:r w:rsidRPr="00FA5D27">
        <w:lastRenderedPageBreak/>
        <w:t xml:space="preserve">F1-Score (Churn class): Harmonic </w:t>
      </w:r>
      <w:r w:rsidR="00BB2F0C" w:rsidRPr="00FA5D27">
        <w:t xml:space="preserve">mean </w:t>
      </w:r>
      <w:r w:rsidRPr="00FA5D27">
        <w:t>of precision and recall, providing a balanced single-number summary.</w:t>
      </w:r>
    </w:p>
    <w:p w14:paraId="0CDED5FD" w14:textId="1396B59E" w:rsidR="00CE131F" w:rsidRPr="00FA5D27" w:rsidRDefault="00000000">
      <w:pPr>
        <w:pStyle w:val="ListParagraph"/>
        <w:numPr>
          <w:ilvl w:val="0"/>
          <w:numId w:val="2"/>
        </w:numPr>
        <w:spacing w:after="80" w:line="480" w:lineRule="auto"/>
      </w:pPr>
      <w:r w:rsidRPr="00FA5D27">
        <w:t xml:space="preserve">Accuracy: Proportion of </w:t>
      </w:r>
      <w:r w:rsidR="00BF2AD5" w:rsidRPr="00FA5D27">
        <w:t>all correct predictions</w:t>
      </w:r>
      <w:r w:rsidRPr="00FA5D27">
        <w:t xml:space="preserve">. Noted for reference but not used as the primary decision metric, as </w:t>
      </w:r>
      <w:r w:rsidR="00BF2AD5" w:rsidRPr="00FA5D27">
        <w:t>the majority class inflates it</w:t>
      </w:r>
      <w:r w:rsidRPr="00FA5D27">
        <w:t>.</w:t>
      </w:r>
    </w:p>
    <w:p w14:paraId="5BC3F1A6" w14:textId="77777777" w:rsidR="00CE131F" w:rsidRPr="00FA5D27" w:rsidRDefault="00000000">
      <w:pPr>
        <w:pStyle w:val="Heading2"/>
        <w:rPr>
          <w:color w:val="auto"/>
        </w:rPr>
      </w:pPr>
      <w:r w:rsidRPr="00FA5D27">
        <w:rPr>
          <w:color w:val="auto"/>
        </w:rPr>
        <w:t>Hyperparameter Optimization</w:t>
      </w:r>
    </w:p>
    <w:p w14:paraId="071A43A0" w14:textId="77777777" w:rsidR="00CE131F" w:rsidRPr="00FA5D27" w:rsidRDefault="00000000">
      <w:pPr>
        <w:spacing w:after="160" w:line="480" w:lineRule="auto"/>
        <w:jc w:val="both"/>
      </w:pPr>
      <w:r w:rsidRPr="00FA5D27">
        <w:t>The Gradient Boosting classifier was selected for hyperparameter tuning based on its superior baseline ROC-AUC performance. A five-fold cross-validated grid search (GridSearchCV) was conducted over a parameter grid comprising n_estimators (100, 200), learning_rate (0.05, 0.10), max_depth (3, 5), and min_samples_split (2, 5)—a total of 16 parameter combinations × 5 folds = 80 model evaluations. ROC-AUC was used as the optimization objective for consistency with the primary evaluation metric.</w:t>
      </w:r>
    </w:p>
    <w:p w14:paraId="15A10E32" w14:textId="77777777" w:rsidR="00CE131F" w:rsidRPr="00FA5D27" w:rsidRDefault="00000000">
      <w:pPr>
        <w:pStyle w:val="Heading2"/>
        <w:rPr>
          <w:color w:val="auto"/>
        </w:rPr>
      </w:pPr>
      <w:r w:rsidRPr="00FA5D27">
        <w:rPr>
          <w:color w:val="auto"/>
        </w:rPr>
        <w:t>Cross-Validation</w:t>
      </w:r>
    </w:p>
    <w:p w14:paraId="5EAA4910" w14:textId="77777777" w:rsidR="00CE131F" w:rsidRPr="00FA5D27" w:rsidRDefault="00000000">
      <w:pPr>
        <w:spacing w:after="160" w:line="480" w:lineRule="auto"/>
        <w:jc w:val="both"/>
      </w:pPr>
      <w:r w:rsidRPr="00FA5D27">
        <w:t>Five-fold cross-validation was performed on the SMOTE-balanced training set using the baseline Gradient Boosting model to assess fit stability and detect potential overfitting. Fold-level AUC scores were examined alongside their mean and standard deviation.</w:t>
      </w:r>
    </w:p>
    <w:p w14:paraId="45C1CDCB" w14:textId="77777777" w:rsidR="00CE131F" w:rsidRPr="00FA5D27" w:rsidRDefault="00000000">
      <w:r w:rsidRPr="00FA5D27">
        <w:br w:type="page"/>
      </w:r>
    </w:p>
    <w:p w14:paraId="3700BC90" w14:textId="77777777" w:rsidR="00CE131F" w:rsidRPr="00FA5D27" w:rsidRDefault="00000000">
      <w:pPr>
        <w:pStyle w:val="Heading1"/>
        <w:rPr>
          <w:color w:val="auto"/>
        </w:rPr>
      </w:pPr>
      <w:r w:rsidRPr="00FA5D27">
        <w:rPr>
          <w:color w:val="auto"/>
        </w:rPr>
        <w:lastRenderedPageBreak/>
        <w:t>Results and Findings</w:t>
      </w:r>
    </w:p>
    <w:p w14:paraId="324EB5A8" w14:textId="77777777" w:rsidR="00CE131F" w:rsidRPr="00FA5D27" w:rsidRDefault="00000000">
      <w:pPr>
        <w:pStyle w:val="Heading2"/>
        <w:rPr>
          <w:color w:val="auto"/>
        </w:rPr>
      </w:pPr>
      <w:r w:rsidRPr="00FA5D27">
        <w:rPr>
          <w:color w:val="auto"/>
        </w:rPr>
        <w:t>Model Performance Comparison</w:t>
      </w:r>
    </w:p>
    <w:p w14:paraId="109BC39A" w14:textId="77777777" w:rsidR="00CE131F" w:rsidRPr="00FA5D27" w:rsidRDefault="00000000">
      <w:pPr>
        <w:spacing w:after="160" w:line="480" w:lineRule="auto"/>
        <w:jc w:val="both"/>
      </w:pPr>
      <w:r w:rsidRPr="00FA5D27">
        <w:t>All four models were evaluated on the held-out test set of 1,407 customers (374 churners, 1,033 non-churners). Table 2 presents the complete performance summary.</w:t>
      </w:r>
    </w:p>
    <w:p w14:paraId="42ABAF0E" w14:textId="77777777" w:rsidR="00CE131F" w:rsidRPr="00FA5D27" w:rsidRDefault="00CE131F"/>
    <w:p w14:paraId="4F678A32" w14:textId="77777777" w:rsidR="00CE131F" w:rsidRPr="00FA5D27" w:rsidRDefault="00000000">
      <w:pPr>
        <w:spacing w:after="80"/>
        <w:jc w:val="center"/>
      </w:pPr>
      <w:r w:rsidRPr="00FA5D27">
        <w:rPr>
          <w:b/>
          <w:bCs/>
          <w:i/>
          <w:iCs/>
          <w:sz w:val="22"/>
          <w:szCs w:val="22"/>
        </w:rPr>
        <w:t>Table 2</w:t>
      </w:r>
    </w:p>
    <w:p w14:paraId="522D7F66" w14:textId="77777777" w:rsidR="00CE131F" w:rsidRPr="00FA5D27" w:rsidRDefault="00000000">
      <w:pPr>
        <w:spacing w:after="120"/>
        <w:jc w:val="center"/>
      </w:pPr>
      <w:r w:rsidRPr="00FA5D27">
        <w:rPr>
          <w:b/>
          <w:bCs/>
          <w:sz w:val="22"/>
          <w:szCs w:val="22"/>
        </w:rPr>
        <w:t>Model Performance Comparison on Held-Out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440"/>
        <w:gridCol w:w="1296"/>
        <w:gridCol w:w="1440"/>
        <w:gridCol w:w="1440"/>
        <w:gridCol w:w="1044"/>
      </w:tblGrid>
      <w:tr w:rsidR="00CE131F" w:rsidRPr="00FA5D27" w14:paraId="67F1ED2A"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7D40B9" w14:textId="77777777" w:rsidR="00CE131F" w:rsidRPr="00FA5D27" w:rsidRDefault="00000000">
            <w:r w:rsidRPr="00FA5D27">
              <w:rPr>
                <w:b/>
                <w:bCs/>
                <w:sz w:val="20"/>
                <w:szCs w:val="20"/>
              </w:rPr>
              <w:t>Model</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28DCC9" w14:textId="77777777" w:rsidR="00CE131F" w:rsidRPr="00FA5D27" w:rsidRDefault="00000000">
            <w:r w:rsidRPr="00FA5D27">
              <w:rPr>
                <w:b/>
                <w:bCs/>
                <w:sz w:val="20"/>
                <w:szCs w:val="20"/>
              </w:rPr>
              <w:t>ROC-AUC</w:t>
            </w:r>
          </w:p>
        </w:tc>
        <w:tc>
          <w:tcPr>
            <w:tcW w:w="129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0AAF439" w14:textId="77777777" w:rsidR="00CE131F" w:rsidRPr="00FA5D27" w:rsidRDefault="00000000">
            <w:r w:rsidRPr="00FA5D27">
              <w:rPr>
                <w:b/>
                <w:bCs/>
                <w:sz w:val="20"/>
                <w:szCs w:val="20"/>
              </w:rPr>
              <w:t>Accuracy</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67E315" w14:textId="77777777" w:rsidR="00CE131F" w:rsidRPr="00FA5D27" w:rsidRDefault="00000000">
            <w:r w:rsidRPr="00FA5D27">
              <w:rPr>
                <w:b/>
                <w:bCs/>
                <w:sz w:val="20"/>
                <w:szCs w:val="20"/>
              </w:rPr>
              <w:t>Churn Recall</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7F7532" w14:textId="77777777" w:rsidR="00CE131F" w:rsidRPr="00FA5D27" w:rsidRDefault="00000000">
            <w:r w:rsidRPr="00FA5D27">
              <w:rPr>
                <w:b/>
                <w:bCs/>
                <w:sz w:val="20"/>
                <w:szCs w:val="20"/>
              </w:rPr>
              <w:t>Churn Precision</w:t>
            </w:r>
          </w:p>
        </w:tc>
        <w:tc>
          <w:tcPr>
            <w:tcW w:w="104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1BFD8ED" w14:textId="77777777" w:rsidR="00CE131F" w:rsidRPr="00FA5D27" w:rsidRDefault="00000000">
            <w:r w:rsidRPr="00FA5D27">
              <w:rPr>
                <w:b/>
                <w:bCs/>
                <w:sz w:val="20"/>
                <w:szCs w:val="20"/>
              </w:rPr>
              <w:t>Churn F1</w:t>
            </w:r>
          </w:p>
        </w:tc>
      </w:tr>
      <w:tr w:rsidR="00CE131F" w:rsidRPr="00FA5D27" w14:paraId="49DBF069"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441D8" w14:textId="77777777" w:rsidR="00CE131F" w:rsidRPr="00FA5D27" w:rsidRDefault="00000000">
            <w:r w:rsidRPr="00FA5D27">
              <w:rPr>
                <w:sz w:val="20"/>
                <w:szCs w:val="20"/>
              </w:rPr>
              <w:t>Logistic Regression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FED049" w14:textId="77777777" w:rsidR="00CE131F" w:rsidRPr="00FA5D27" w:rsidRDefault="00000000">
            <w:r w:rsidRPr="00FA5D27">
              <w:rPr>
                <w:sz w:val="20"/>
                <w:szCs w:val="20"/>
              </w:rPr>
              <w:t>0.8086</w:t>
            </w:r>
          </w:p>
        </w:tc>
        <w:tc>
          <w:tcPr>
            <w:tcW w:w="1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897209" w14:textId="77777777" w:rsidR="00CE131F" w:rsidRPr="00FA5D27" w:rsidRDefault="00000000">
            <w:r w:rsidRPr="00FA5D27">
              <w:rPr>
                <w:sz w:val="20"/>
                <w:szCs w:val="20"/>
              </w:rPr>
              <w:t>74%</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E8A43B" w14:textId="77777777" w:rsidR="00CE131F" w:rsidRPr="00FA5D27" w:rsidRDefault="00000000">
            <w:r w:rsidRPr="00FA5D27">
              <w:rPr>
                <w:sz w:val="20"/>
                <w:szCs w:val="20"/>
              </w:rPr>
              <w:t>72%</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1208F" w14:textId="77777777" w:rsidR="00CE131F" w:rsidRPr="00FA5D27" w:rsidRDefault="00000000">
            <w:r w:rsidRPr="00FA5D27">
              <w:rPr>
                <w:sz w:val="20"/>
                <w:szCs w:val="20"/>
              </w:rPr>
              <w:t>50%</w:t>
            </w:r>
          </w:p>
        </w:tc>
        <w:tc>
          <w:tcPr>
            <w:tcW w:w="1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ADF7A" w14:textId="77777777" w:rsidR="00CE131F" w:rsidRPr="00FA5D27" w:rsidRDefault="00000000">
            <w:r w:rsidRPr="00FA5D27">
              <w:rPr>
                <w:sz w:val="20"/>
                <w:szCs w:val="20"/>
              </w:rPr>
              <w:t>0.59</w:t>
            </w:r>
          </w:p>
        </w:tc>
      </w:tr>
      <w:tr w:rsidR="00CE131F" w:rsidRPr="00FA5D27" w14:paraId="12DB56FB"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A2C29D" w14:textId="77777777" w:rsidR="00CE131F" w:rsidRPr="00FA5D27" w:rsidRDefault="00000000">
            <w:r w:rsidRPr="00FA5D27">
              <w:rPr>
                <w:sz w:val="20"/>
                <w:szCs w:val="20"/>
              </w:rPr>
              <w:t>Decision Tree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10CC0A" w14:textId="77777777" w:rsidR="00CE131F" w:rsidRPr="00FA5D27" w:rsidRDefault="00000000">
            <w:r w:rsidRPr="00FA5D27">
              <w:rPr>
                <w:sz w:val="20"/>
                <w:szCs w:val="20"/>
              </w:rPr>
              <w:t>0.6662</w:t>
            </w:r>
          </w:p>
        </w:tc>
        <w:tc>
          <w:tcPr>
            <w:tcW w:w="1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706EA7" w14:textId="77777777" w:rsidR="00CE131F" w:rsidRPr="00FA5D27" w:rsidRDefault="00000000">
            <w:r w:rsidRPr="00FA5D27">
              <w:rPr>
                <w:sz w:val="20"/>
                <w:szCs w:val="20"/>
              </w:rPr>
              <w:t>71%</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1E065" w14:textId="77777777" w:rsidR="00CE131F" w:rsidRPr="00FA5D27" w:rsidRDefault="00000000">
            <w:r w:rsidRPr="00FA5D27">
              <w:rPr>
                <w:sz w:val="20"/>
                <w:szCs w:val="20"/>
              </w:rPr>
              <w:t>57%</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A79D3" w14:textId="77777777" w:rsidR="00CE131F" w:rsidRPr="00FA5D27" w:rsidRDefault="00000000">
            <w:r w:rsidRPr="00FA5D27">
              <w:rPr>
                <w:sz w:val="20"/>
                <w:szCs w:val="20"/>
              </w:rPr>
              <w:t>46%</w:t>
            </w:r>
          </w:p>
        </w:tc>
        <w:tc>
          <w:tcPr>
            <w:tcW w:w="1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08C83" w14:textId="77777777" w:rsidR="00CE131F" w:rsidRPr="00FA5D27" w:rsidRDefault="00000000">
            <w:r w:rsidRPr="00FA5D27">
              <w:rPr>
                <w:sz w:val="20"/>
                <w:szCs w:val="20"/>
              </w:rPr>
              <w:t>0.51</w:t>
            </w:r>
          </w:p>
        </w:tc>
      </w:tr>
      <w:tr w:rsidR="00CE131F" w:rsidRPr="00FA5D27" w14:paraId="288B3DE4"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A4A96A" w14:textId="77777777" w:rsidR="00CE131F" w:rsidRPr="00FA5D27" w:rsidRDefault="00000000">
            <w:r w:rsidRPr="00FA5D27">
              <w:rPr>
                <w:sz w:val="20"/>
                <w:szCs w:val="20"/>
              </w:rPr>
              <w:t>Random Forest</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3ECE5" w14:textId="77777777" w:rsidR="00CE131F" w:rsidRPr="00FA5D27" w:rsidRDefault="00000000">
            <w:r w:rsidRPr="00FA5D27">
              <w:rPr>
                <w:sz w:val="20"/>
                <w:szCs w:val="20"/>
              </w:rPr>
              <w:t>0.8082</w:t>
            </w:r>
          </w:p>
        </w:tc>
        <w:tc>
          <w:tcPr>
            <w:tcW w:w="1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3FF88" w14:textId="77777777" w:rsidR="00CE131F" w:rsidRPr="00FA5D27" w:rsidRDefault="00000000">
            <w:r w:rsidRPr="00FA5D27">
              <w:rPr>
                <w:sz w:val="20"/>
                <w:szCs w:val="20"/>
              </w:rPr>
              <w:t>76%</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8EE54B" w14:textId="77777777" w:rsidR="00CE131F" w:rsidRPr="00FA5D27" w:rsidRDefault="00000000">
            <w:r w:rsidRPr="00FA5D27">
              <w:rPr>
                <w:sz w:val="20"/>
                <w:szCs w:val="20"/>
              </w:rPr>
              <w:t>58%</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F1C68" w14:textId="77777777" w:rsidR="00CE131F" w:rsidRPr="00FA5D27" w:rsidRDefault="00000000">
            <w:r w:rsidRPr="00FA5D27">
              <w:rPr>
                <w:sz w:val="20"/>
                <w:szCs w:val="20"/>
              </w:rPr>
              <w:t>55%</w:t>
            </w:r>
          </w:p>
        </w:tc>
        <w:tc>
          <w:tcPr>
            <w:tcW w:w="1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F1710F" w14:textId="77777777" w:rsidR="00CE131F" w:rsidRPr="00FA5D27" w:rsidRDefault="00000000">
            <w:r w:rsidRPr="00FA5D27">
              <w:rPr>
                <w:sz w:val="20"/>
                <w:szCs w:val="20"/>
              </w:rPr>
              <w:t>0.57</w:t>
            </w:r>
          </w:p>
        </w:tc>
      </w:tr>
      <w:tr w:rsidR="00CE131F" w:rsidRPr="00FA5D27" w14:paraId="72BD50BD"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D22DF9" w14:textId="77777777" w:rsidR="00CE131F" w:rsidRPr="00FA5D27" w:rsidRDefault="00000000">
            <w:r w:rsidRPr="00FA5D27">
              <w:rPr>
                <w:sz w:val="20"/>
                <w:szCs w:val="20"/>
              </w:rPr>
              <w:t>Gradient Boosting (Baseline)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A4A47" w14:textId="77777777" w:rsidR="00CE131F" w:rsidRPr="00FA5D27" w:rsidRDefault="00000000">
            <w:r w:rsidRPr="00FA5D27">
              <w:rPr>
                <w:sz w:val="20"/>
                <w:szCs w:val="20"/>
              </w:rPr>
              <w:t>0.8214</w:t>
            </w:r>
          </w:p>
        </w:tc>
        <w:tc>
          <w:tcPr>
            <w:tcW w:w="1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404EB3" w14:textId="77777777" w:rsidR="00CE131F" w:rsidRPr="00FA5D27" w:rsidRDefault="00000000">
            <w:r w:rsidRPr="00FA5D27">
              <w:rPr>
                <w:sz w:val="20"/>
                <w:szCs w:val="20"/>
              </w:rPr>
              <w:t>76%</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180441" w14:textId="77777777" w:rsidR="00CE131F" w:rsidRPr="00FA5D27" w:rsidRDefault="00000000">
            <w:r w:rsidRPr="00FA5D27">
              <w:rPr>
                <w:sz w:val="20"/>
                <w:szCs w:val="20"/>
              </w:rPr>
              <w:t>68%</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7FDE5" w14:textId="77777777" w:rsidR="00CE131F" w:rsidRPr="00FA5D27" w:rsidRDefault="00000000">
            <w:r w:rsidRPr="00FA5D27">
              <w:rPr>
                <w:sz w:val="20"/>
                <w:szCs w:val="20"/>
              </w:rPr>
              <w:t>54%</w:t>
            </w:r>
          </w:p>
        </w:tc>
        <w:tc>
          <w:tcPr>
            <w:tcW w:w="1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83EA39" w14:textId="77777777" w:rsidR="00CE131F" w:rsidRPr="00FA5D27" w:rsidRDefault="00000000">
            <w:r w:rsidRPr="00FA5D27">
              <w:rPr>
                <w:sz w:val="20"/>
                <w:szCs w:val="20"/>
              </w:rPr>
              <w:t>0.60</w:t>
            </w:r>
          </w:p>
        </w:tc>
      </w:tr>
      <w:tr w:rsidR="00CE131F" w:rsidRPr="00FA5D27" w14:paraId="5DB37D2C"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F602A" w14:textId="77777777" w:rsidR="00CE131F" w:rsidRPr="00FA5D27" w:rsidRDefault="00000000">
            <w:r w:rsidRPr="00FA5D27">
              <w:rPr>
                <w:sz w:val="20"/>
                <w:szCs w:val="20"/>
              </w:rPr>
              <w:t>Gradient Boosting (Tuned)</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A90EB1" w14:textId="77777777" w:rsidR="00CE131F" w:rsidRPr="00FA5D27" w:rsidRDefault="00000000">
            <w:r w:rsidRPr="00FA5D27">
              <w:rPr>
                <w:sz w:val="20"/>
                <w:szCs w:val="20"/>
              </w:rPr>
              <w:t>0.8169</w:t>
            </w:r>
          </w:p>
        </w:tc>
        <w:tc>
          <w:tcPr>
            <w:tcW w:w="1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55133" w14:textId="77777777" w:rsidR="00CE131F" w:rsidRPr="00FA5D27" w:rsidRDefault="00000000">
            <w:r w:rsidRPr="00FA5D27">
              <w:rPr>
                <w:sz w:val="20"/>
                <w:szCs w:val="20"/>
              </w:rPr>
              <w:t>76%</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28F483" w14:textId="77777777" w:rsidR="00CE131F" w:rsidRPr="00FA5D27" w:rsidRDefault="00000000">
            <w:r w:rsidRPr="00FA5D27">
              <w:rPr>
                <w:sz w:val="20"/>
                <w:szCs w:val="20"/>
              </w:rPr>
              <w:t>60%</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8F70B" w14:textId="77777777" w:rsidR="00CE131F" w:rsidRPr="00FA5D27" w:rsidRDefault="00000000">
            <w:r w:rsidRPr="00FA5D27">
              <w:rPr>
                <w:sz w:val="20"/>
                <w:szCs w:val="20"/>
              </w:rPr>
              <w:t>55%</w:t>
            </w:r>
          </w:p>
        </w:tc>
        <w:tc>
          <w:tcPr>
            <w:tcW w:w="1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A3657" w14:textId="77777777" w:rsidR="00CE131F" w:rsidRPr="00FA5D27" w:rsidRDefault="00000000">
            <w:r w:rsidRPr="00FA5D27">
              <w:rPr>
                <w:sz w:val="20"/>
                <w:szCs w:val="20"/>
              </w:rPr>
              <w:t>0.58</w:t>
            </w:r>
          </w:p>
        </w:tc>
      </w:tr>
    </w:tbl>
    <w:p w14:paraId="49D5EB75" w14:textId="77777777" w:rsidR="00CE131F" w:rsidRPr="00FA5D27" w:rsidRDefault="00CE131F"/>
    <w:p w14:paraId="2EB6C59D" w14:textId="00F355F7" w:rsidR="00CE131F" w:rsidRPr="00FA5D27" w:rsidRDefault="00000000">
      <w:pPr>
        <w:spacing w:after="160" w:line="480" w:lineRule="auto"/>
        <w:jc w:val="both"/>
      </w:pPr>
      <w:r w:rsidRPr="00FA5D27">
        <w:t>The baseline Gradient Boosting model achieved the highest ROC-AUC at 0.8214, confirming its discriminative superiority across decision thresholds. Logistic Regression, despite being the simplest model, delivered the highest churn recall at 72%</w:t>
      </w:r>
      <w:r w:rsidR="00BB2F0C" w:rsidRPr="00FA5D27">
        <w:t xml:space="preserve">, </w:t>
      </w:r>
      <w:r w:rsidRPr="00FA5D27">
        <w:t xml:space="preserve">a consequence of its more aggressive positive-class prediction behavior when trained on SMOTE-balanced data. The Decision Tree </w:t>
      </w:r>
      <w:r w:rsidR="00BB2F0C" w:rsidRPr="00FA5D27">
        <w:t>underperformed</w:t>
      </w:r>
      <w:r w:rsidRPr="00FA5D27">
        <w:t xml:space="preserve"> all metrics, reflecting </w:t>
      </w:r>
      <w:r w:rsidR="00BB2F0C" w:rsidRPr="00FA5D27">
        <w:t>the expected high variance</w:t>
      </w:r>
      <w:r w:rsidRPr="00FA5D27">
        <w:t xml:space="preserve"> without pruning.</w:t>
      </w:r>
    </w:p>
    <w:p w14:paraId="34C7F745" w14:textId="77DEB11E" w:rsidR="00CE131F" w:rsidRPr="00FA5D27" w:rsidRDefault="00000000">
      <w:pPr>
        <w:spacing w:after="160" w:line="480" w:lineRule="auto"/>
        <w:jc w:val="both"/>
      </w:pPr>
      <w:r w:rsidRPr="00FA5D27">
        <w:t xml:space="preserve">The tuned Gradient Boosting model (AUC = 0.8169, Precision = 55%) </w:t>
      </w:r>
      <w:r w:rsidR="00BB2F0C" w:rsidRPr="00FA5D27">
        <w:t>shows only marginal recalibration, suggesting</w:t>
      </w:r>
      <w:r w:rsidRPr="00FA5D27">
        <w:t xml:space="preserve"> that the default hyperparameters were already near-optimal for this dataset. The tuned model's five-fold cross-validation mean AUC of 0.9270 on the training set versus a test AUC of 0.8169 suggests some degree of overfitting to the SMOTE-augmented training distribution</w:t>
      </w:r>
      <w:r w:rsidR="00862E10" w:rsidRPr="00FA5D27">
        <w:t xml:space="preserve">, </w:t>
      </w:r>
      <w:r w:rsidRPr="00FA5D27">
        <w:t>a predictable outcome when synthetic samples are generated</w:t>
      </w:r>
      <w:r w:rsidR="00BF2AD5" w:rsidRPr="00FA5D27">
        <w:t>. However, the</w:t>
      </w:r>
      <w:r w:rsidRPr="00FA5D27">
        <w:t xml:space="preserve"> test set preserves natural class proportions.</w:t>
      </w:r>
    </w:p>
    <w:p w14:paraId="7665E6BB" w14:textId="77777777" w:rsidR="00CE131F" w:rsidRPr="00FA5D27" w:rsidRDefault="00000000">
      <w:pPr>
        <w:pStyle w:val="Heading2"/>
        <w:rPr>
          <w:color w:val="auto"/>
        </w:rPr>
      </w:pPr>
      <w:r w:rsidRPr="00FA5D27">
        <w:rPr>
          <w:color w:val="auto"/>
        </w:rPr>
        <w:lastRenderedPageBreak/>
        <w:t>Confusion Matrix Analysis</w:t>
      </w:r>
    </w:p>
    <w:p w14:paraId="3E519DE1" w14:textId="77777777" w:rsidR="00CE131F" w:rsidRPr="00FA5D27" w:rsidRDefault="00000000">
      <w:pPr>
        <w:spacing w:after="160" w:line="480" w:lineRule="auto"/>
        <w:jc w:val="both"/>
      </w:pPr>
      <w:r w:rsidRPr="00FA5D27">
        <w:t>Applying the Gradient Boosting (tuned) model at a 0.50 decision threshold to the 1,407-record test set produced the following outcomes:</w:t>
      </w:r>
    </w:p>
    <w:p w14:paraId="5C2283A6" w14:textId="77777777" w:rsidR="00CE131F" w:rsidRPr="00FA5D27" w:rsidRDefault="00000000">
      <w:pPr>
        <w:pStyle w:val="ListParagraph"/>
        <w:numPr>
          <w:ilvl w:val="0"/>
          <w:numId w:val="2"/>
        </w:numPr>
        <w:spacing w:after="80" w:line="480" w:lineRule="auto"/>
      </w:pPr>
      <w:r w:rsidRPr="00FA5D27">
        <w:t>True Negatives: 850 customers correctly identified as non-churners (82.3% of actual non-churners)</w:t>
      </w:r>
    </w:p>
    <w:p w14:paraId="33215903" w14:textId="77777777" w:rsidR="00CE131F" w:rsidRPr="00FA5D27" w:rsidRDefault="00000000">
      <w:pPr>
        <w:pStyle w:val="ListParagraph"/>
        <w:numPr>
          <w:ilvl w:val="0"/>
          <w:numId w:val="2"/>
        </w:numPr>
        <w:spacing w:after="80" w:line="480" w:lineRule="auto"/>
      </w:pPr>
      <w:r w:rsidRPr="00FA5D27">
        <w:t>False Positives: 183 customers incorrectly flagged as churners (17.7% false alarm rate)</w:t>
      </w:r>
    </w:p>
    <w:p w14:paraId="21609C89" w14:textId="70CDB033" w:rsidR="00CE131F" w:rsidRPr="00FA5D27" w:rsidRDefault="00000000">
      <w:pPr>
        <w:pStyle w:val="ListParagraph"/>
        <w:numPr>
          <w:ilvl w:val="0"/>
          <w:numId w:val="2"/>
        </w:numPr>
        <w:spacing w:after="80" w:line="480" w:lineRule="auto"/>
      </w:pPr>
      <w:r w:rsidRPr="00FA5D27">
        <w:t xml:space="preserve">False Negatives: 148 customers who </w:t>
      </w:r>
      <w:r w:rsidR="00862E10" w:rsidRPr="00FA5D27">
        <w:t>churned</w:t>
      </w:r>
      <w:r w:rsidRPr="00FA5D27">
        <w:t xml:space="preserve"> but were not identified (39.6% miss rate)</w:t>
      </w:r>
    </w:p>
    <w:p w14:paraId="12620273" w14:textId="77777777" w:rsidR="00CE131F" w:rsidRPr="00FA5D27" w:rsidRDefault="00000000">
      <w:pPr>
        <w:pStyle w:val="ListParagraph"/>
        <w:numPr>
          <w:ilvl w:val="0"/>
          <w:numId w:val="2"/>
        </w:numPr>
        <w:spacing w:after="80" w:line="480" w:lineRule="auto"/>
      </w:pPr>
      <w:r w:rsidRPr="00FA5D27">
        <w:t>True Positives: 226 customers correctly identified as churners (60.4% recall)</w:t>
      </w:r>
    </w:p>
    <w:p w14:paraId="55049E9D" w14:textId="097BA790" w:rsidR="00CE131F" w:rsidRPr="00FA5D27" w:rsidRDefault="00000000">
      <w:pPr>
        <w:spacing w:after="160" w:line="480" w:lineRule="auto"/>
        <w:jc w:val="both"/>
      </w:pPr>
      <w:r w:rsidRPr="00FA5D27">
        <w:t xml:space="preserve">The 148 false negatives represent the most consequential errors. In a real telecom deployment with </w:t>
      </w:r>
      <w:r w:rsidR="00862E10" w:rsidRPr="00FA5D27">
        <w:t xml:space="preserve">an </w:t>
      </w:r>
      <w:r w:rsidRPr="00FA5D27">
        <w:t xml:space="preserve">average customer lifetime value of $800–$1,200, these undetected churners collectively represent $120,000–$180,000 in potential lost annual revenue per test cohort. The 183 false positives, while generating unnecessary retention outreach </w:t>
      </w:r>
      <w:r w:rsidR="00862E10" w:rsidRPr="00FA5D27">
        <w:t>costs</w:t>
      </w:r>
      <w:r w:rsidRPr="00FA5D27">
        <w:t xml:space="preserve"> (estimated at $20–50 per contact), represent a far smaller financial impact than </w:t>
      </w:r>
      <w:r w:rsidR="00862E10" w:rsidRPr="00FA5D27">
        <w:t xml:space="preserve">the cost of </w:t>
      </w:r>
      <w:r w:rsidRPr="00FA5D27">
        <w:t>missed churners.</w:t>
      </w:r>
    </w:p>
    <w:p w14:paraId="2D45C6A7" w14:textId="77777777" w:rsidR="00CE131F" w:rsidRPr="00FA5D27" w:rsidRDefault="00000000">
      <w:pPr>
        <w:pStyle w:val="Heading2"/>
        <w:rPr>
          <w:color w:val="auto"/>
        </w:rPr>
      </w:pPr>
      <w:r w:rsidRPr="00FA5D27">
        <w:rPr>
          <w:color w:val="auto"/>
        </w:rPr>
        <w:t>Feature Importance Analysis</w:t>
      </w:r>
    </w:p>
    <w:p w14:paraId="68E2B16F" w14:textId="3B117302" w:rsidR="00CE131F" w:rsidRPr="00FA5D27" w:rsidRDefault="00000000">
      <w:pPr>
        <w:spacing w:after="160" w:line="480" w:lineRule="auto"/>
        <w:jc w:val="both"/>
      </w:pPr>
      <w:r w:rsidRPr="00FA5D27">
        <w:t>The Gradient Boosting model's feature importance scores</w:t>
      </w:r>
      <w:r w:rsidR="00862E10" w:rsidRPr="00FA5D27">
        <w:t xml:space="preserve">, which measure each feature's contribution to reducing impurity across all decision trees, </w:t>
      </w:r>
      <w:r w:rsidRPr="00FA5D27">
        <w:t>revealed a pronounced hierarchy of churn predictors. Table 3 presents the top 10 most important features.</w:t>
      </w:r>
    </w:p>
    <w:p w14:paraId="5BBDD513" w14:textId="77777777" w:rsidR="00CE131F" w:rsidRPr="00FA5D27" w:rsidRDefault="00CE131F"/>
    <w:p w14:paraId="1CA42D5F" w14:textId="77777777" w:rsidR="00CE131F" w:rsidRPr="00FA5D27" w:rsidRDefault="00000000">
      <w:pPr>
        <w:spacing w:after="80"/>
        <w:jc w:val="center"/>
      </w:pPr>
      <w:r w:rsidRPr="00FA5D27">
        <w:rPr>
          <w:b/>
          <w:bCs/>
          <w:i/>
          <w:iCs/>
          <w:sz w:val="22"/>
          <w:szCs w:val="22"/>
        </w:rPr>
        <w:t>Table 3</w:t>
      </w:r>
    </w:p>
    <w:p w14:paraId="616D4577" w14:textId="77777777" w:rsidR="00CE131F" w:rsidRPr="00FA5D27" w:rsidRDefault="00000000">
      <w:pPr>
        <w:spacing w:after="120"/>
        <w:jc w:val="center"/>
      </w:pPr>
      <w:r w:rsidRPr="00FA5D27">
        <w:rPr>
          <w:b/>
          <w:bCs/>
          <w:sz w:val="22"/>
          <w:szCs w:val="22"/>
        </w:rPr>
        <w:t>Top 10 Feature Importance Scores – Gradient Boosting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1620"/>
        <w:gridCol w:w="1785"/>
        <w:gridCol w:w="5300"/>
      </w:tblGrid>
      <w:tr w:rsidR="00CE131F" w:rsidRPr="00FA5D27" w14:paraId="5F520A9F"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80EC9A9" w14:textId="77777777" w:rsidR="00CE131F" w:rsidRPr="00FA5D27" w:rsidRDefault="00000000">
            <w:r w:rsidRPr="00FA5D27">
              <w:rPr>
                <w:b/>
                <w:bCs/>
                <w:sz w:val="20"/>
                <w:szCs w:val="20"/>
              </w:rPr>
              <w:t>Rank</w:t>
            </w:r>
          </w:p>
        </w:tc>
        <w:tc>
          <w:tcPr>
            <w:tcW w:w="16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5B33A9" w14:textId="77777777" w:rsidR="00CE131F" w:rsidRPr="00FA5D27" w:rsidRDefault="00000000">
            <w:r w:rsidRPr="00FA5D27">
              <w:rPr>
                <w:b/>
                <w:bCs/>
                <w:sz w:val="20"/>
                <w:szCs w:val="20"/>
              </w:rPr>
              <w:t>Feature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D99704" w14:textId="77777777" w:rsidR="00CE131F" w:rsidRPr="00FA5D27" w:rsidRDefault="00000000">
            <w:r w:rsidRPr="00FA5D27">
              <w:rPr>
                <w:b/>
                <w:bCs/>
                <w:sz w:val="20"/>
                <w:szCs w:val="20"/>
              </w:rPr>
              <w:t>Importance Score</w:t>
            </w:r>
          </w:p>
        </w:tc>
        <w:tc>
          <w:tcPr>
            <w:tcW w:w="5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8325E8" w14:textId="77777777" w:rsidR="00CE131F" w:rsidRPr="00FA5D27" w:rsidRDefault="00000000">
            <w:r w:rsidRPr="00FA5D27">
              <w:rPr>
                <w:b/>
                <w:bCs/>
                <w:sz w:val="20"/>
                <w:szCs w:val="20"/>
              </w:rPr>
              <w:t>Business Interpretation</w:t>
            </w:r>
          </w:p>
        </w:tc>
      </w:tr>
      <w:tr w:rsidR="00CE131F" w:rsidRPr="00FA5D27" w14:paraId="0D890A65"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6E71B1" w14:textId="77777777" w:rsidR="00CE131F" w:rsidRPr="00FA5D27" w:rsidRDefault="00000000">
            <w:r w:rsidRPr="00FA5D27">
              <w:rPr>
                <w:sz w:val="20"/>
                <w:szCs w:val="20"/>
              </w:rPr>
              <w:t>1</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C7DC6" w14:textId="77777777" w:rsidR="00CE131F" w:rsidRPr="00FA5D27" w:rsidRDefault="00000000">
            <w:r w:rsidRPr="00FA5D27">
              <w:rPr>
                <w:sz w:val="20"/>
                <w:szCs w:val="20"/>
              </w:rPr>
              <w:t>Contract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1F309" w14:textId="77777777" w:rsidR="00CE131F" w:rsidRPr="00FA5D27" w:rsidRDefault="00000000">
            <w:r w:rsidRPr="00FA5D27">
              <w:rPr>
                <w:sz w:val="20"/>
                <w:szCs w:val="20"/>
              </w:rPr>
              <w:t>0.3956</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5A5DE" w14:textId="77777777" w:rsidR="00CE131F" w:rsidRPr="00FA5D27" w:rsidRDefault="00000000">
            <w:r w:rsidRPr="00FA5D27">
              <w:rPr>
                <w:sz w:val="20"/>
                <w:szCs w:val="20"/>
              </w:rPr>
              <w:t>Month-to-month customers are structurally predisposed to churn</w:t>
            </w:r>
          </w:p>
        </w:tc>
      </w:tr>
      <w:tr w:rsidR="00CE131F" w:rsidRPr="00FA5D27" w14:paraId="156B522B"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088E0" w14:textId="77777777" w:rsidR="00CE131F" w:rsidRPr="00FA5D27" w:rsidRDefault="00000000">
            <w:r w:rsidRPr="00FA5D27">
              <w:rPr>
                <w:sz w:val="20"/>
                <w:szCs w:val="20"/>
              </w:rPr>
              <w:lastRenderedPageBreak/>
              <w:t>2</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6FDE74" w14:textId="77777777" w:rsidR="00CE131F" w:rsidRPr="00FA5D27" w:rsidRDefault="00000000">
            <w:r w:rsidRPr="00FA5D27">
              <w:rPr>
                <w:sz w:val="20"/>
                <w:szCs w:val="20"/>
              </w:rPr>
              <w:t>MonthlyCharges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5E340" w14:textId="77777777" w:rsidR="00CE131F" w:rsidRPr="00FA5D27" w:rsidRDefault="00000000">
            <w:r w:rsidRPr="00FA5D27">
              <w:rPr>
                <w:sz w:val="20"/>
                <w:szCs w:val="20"/>
              </w:rPr>
              <w:t>0.1240</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DC09A7" w14:textId="77777777" w:rsidR="00CE131F" w:rsidRPr="00FA5D27" w:rsidRDefault="00000000">
            <w:r w:rsidRPr="00FA5D27">
              <w:rPr>
                <w:sz w:val="20"/>
                <w:szCs w:val="20"/>
              </w:rPr>
              <w:t>Higher bills drive price-sensitive customers to seek alternatives</w:t>
            </w:r>
          </w:p>
        </w:tc>
      </w:tr>
      <w:tr w:rsidR="00CE131F" w:rsidRPr="00FA5D27" w14:paraId="7629C1F6"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BF0E5" w14:textId="77777777" w:rsidR="00CE131F" w:rsidRPr="00FA5D27" w:rsidRDefault="00000000">
            <w:r w:rsidRPr="00FA5D27">
              <w:rPr>
                <w:sz w:val="20"/>
                <w:szCs w:val="20"/>
              </w:rPr>
              <w:t>3</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560A7" w14:textId="77777777" w:rsidR="00CE131F" w:rsidRPr="00FA5D27" w:rsidRDefault="00000000">
            <w:r w:rsidRPr="00FA5D27">
              <w:rPr>
                <w:sz w:val="20"/>
                <w:szCs w:val="20"/>
              </w:rPr>
              <w:t>TotalCharges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A9A9E2" w14:textId="77777777" w:rsidR="00CE131F" w:rsidRPr="00FA5D27" w:rsidRDefault="00000000">
            <w:r w:rsidRPr="00FA5D27">
              <w:rPr>
                <w:sz w:val="20"/>
                <w:szCs w:val="20"/>
              </w:rPr>
              <w:t>0.1119</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6F3F4" w14:textId="77777777" w:rsidR="00CE131F" w:rsidRPr="00FA5D27" w:rsidRDefault="00000000">
            <w:r w:rsidRPr="00FA5D27">
              <w:rPr>
                <w:sz w:val="20"/>
                <w:szCs w:val="20"/>
              </w:rPr>
              <w:t>Proxy for tenure + billing history; low values indicate new, at-risk customers</w:t>
            </w:r>
          </w:p>
        </w:tc>
      </w:tr>
      <w:tr w:rsidR="00CE131F" w:rsidRPr="00FA5D27" w14:paraId="7B657770"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02F0E8" w14:textId="77777777" w:rsidR="00CE131F" w:rsidRPr="00FA5D27" w:rsidRDefault="00000000">
            <w:r w:rsidRPr="00FA5D27">
              <w:rPr>
                <w:sz w:val="20"/>
                <w:szCs w:val="20"/>
              </w:rPr>
              <w:t>4</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0B58A" w14:textId="77777777" w:rsidR="00CE131F" w:rsidRPr="00FA5D27" w:rsidRDefault="00000000">
            <w:r w:rsidRPr="00FA5D27">
              <w:rPr>
                <w:sz w:val="20"/>
                <w:szCs w:val="20"/>
              </w:rPr>
              <w:t>OnlineSecurity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A1775B" w14:textId="77777777" w:rsidR="00CE131F" w:rsidRPr="00FA5D27" w:rsidRDefault="00000000">
            <w:r w:rsidRPr="00FA5D27">
              <w:rPr>
                <w:sz w:val="20"/>
                <w:szCs w:val="20"/>
              </w:rPr>
              <w:t>0.0691</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6C9A39" w14:textId="77777777" w:rsidR="00CE131F" w:rsidRPr="00FA5D27" w:rsidRDefault="00000000">
            <w:r w:rsidRPr="00FA5D27">
              <w:rPr>
                <w:sz w:val="20"/>
                <w:szCs w:val="20"/>
              </w:rPr>
              <w:t>Add-on adoption deepens relationship; absence signals disengagement</w:t>
            </w:r>
          </w:p>
        </w:tc>
      </w:tr>
      <w:tr w:rsidR="00CE131F" w:rsidRPr="00FA5D27" w14:paraId="7DD63A94"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A3F1C1" w14:textId="77777777" w:rsidR="00CE131F" w:rsidRPr="00FA5D27" w:rsidRDefault="00000000">
            <w:r w:rsidRPr="00FA5D27">
              <w:rPr>
                <w:sz w:val="20"/>
                <w:szCs w:val="20"/>
              </w:rPr>
              <w:t>5</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7E72DE" w14:textId="77777777" w:rsidR="00CE131F" w:rsidRPr="00FA5D27" w:rsidRDefault="00000000">
            <w:r w:rsidRPr="00FA5D27">
              <w:rPr>
                <w:sz w:val="20"/>
                <w:szCs w:val="20"/>
              </w:rPr>
              <w:t>tenure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9B54B" w14:textId="77777777" w:rsidR="00CE131F" w:rsidRPr="00FA5D27" w:rsidRDefault="00000000">
            <w:r w:rsidRPr="00FA5D27">
              <w:rPr>
                <w:sz w:val="20"/>
                <w:szCs w:val="20"/>
              </w:rPr>
              <w:t>0.0586</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CE7D2" w14:textId="1DB7968C" w:rsidR="00CE131F" w:rsidRPr="00FA5D27" w:rsidRDefault="00000000">
            <w:r w:rsidRPr="00FA5D27">
              <w:rPr>
                <w:sz w:val="20"/>
                <w:szCs w:val="20"/>
              </w:rPr>
              <w:t xml:space="preserve">Longer-tenured customers are more stable; </w:t>
            </w:r>
            <w:r w:rsidR="00BF2AD5" w:rsidRPr="00FA5D27">
              <w:rPr>
                <w:sz w:val="20"/>
                <w:szCs w:val="20"/>
              </w:rPr>
              <w:t>customers with early tenure are</w:t>
            </w:r>
            <w:r w:rsidRPr="00FA5D27">
              <w:rPr>
                <w:sz w:val="20"/>
                <w:szCs w:val="20"/>
              </w:rPr>
              <w:t xml:space="preserve"> </w:t>
            </w:r>
            <w:r w:rsidR="00BF2AD5" w:rsidRPr="00FA5D27">
              <w:rPr>
                <w:sz w:val="20"/>
                <w:szCs w:val="20"/>
              </w:rPr>
              <w:t xml:space="preserve">the </w:t>
            </w:r>
            <w:r w:rsidRPr="00FA5D27">
              <w:rPr>
                <w:sz w:val="20"/>
                <w:szCs w:val="20"/>
              </w:rPr>
              <w:t>highest risk</w:t>
            </w:r>
            <w:r w:rsidR="00BF2AD5" w:rsidRPr="00FA5D27">
              <w:rPr>
                <w:sz w:val="20"/>
                <w:szCs w:val="20"/>
              </w:rPr>
              <w:t>.</w:t>
            </w:r>
          </w:p>
        </w:tc>
      </w:tr>
      <w:tr w:rsidR="00CE131F" w:rsidRPr="00FA5D27" w14:paraId="016FE5BE"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92310F" w14:textId="77777777" w:rsidR="00CE131F" w:rsidRPr="00FA5D27" w:rsidRDefault="00000000">
            <w:r w:rsidRPr="00FA5D27">
              <w:rPr>
                <w:sz w:val="20"/>
                <w:szCs w:val="20"/>
              </w:rPr>
              <w:t>6</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0D880" w14:textId="77777777" w:rsidR="00CE131F" w:rsidRPr="00FA5D27" w:rsidRDefault="00000000">
            <w:r w:rsidRPr="00FA5D27">
              <w:rPr>
                <w:sz w:val="20"/>
                <w:szCs w:val="20"/>
              </w:rPr>
              <w:t>TechSupport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E8E5A" w14:textId="77777777" w:rsidR="00CE131F" w:rsidRPr="00FA5D27" w:rsidRDefault="00000000">
            <w:r w:rsidRPr="00FA5D27">
              <w:rPr>
                <w:sz w:val="20"/>
                <w:szCs w:val="20"/>
              </w:rPr>
              <w:t>0.0437</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7E317" w14:textId="77777777" w:rsidR="00CE131F" w:rsidRPr="00FA5D27" w:rsidRDefault="00000000">
            <w:r w:rsidRPr="00FA5D27">
              <w:rPr>
                <w:sz w:val="20"/>
                <w:szCs w:val="20"/>
              </w:rPr>
              <w:t>Support service usage indicates reliance on the provider ecosystem</w:t>
            </w:r>
          </w:p>
        </w:tc>
      </w:tr>
      <w:tr w:rsidR="00CE131F" w:rsidRPr="00FA5D27" w14:paraId="6B64276F"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CD4B38" w14:textId="77777777" w:rsidR="00CE131F" w:rsidRPr="00FA5D27" w:rsidRDefault="00000000">
            <w:r w:rsidRPr="00FA5D27">
              <w:rPr>
                <w:sz w:val="20"/>
                <w:szCs w:val="20"/>
              </w:rPr>
              <w:t>7</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B68BB" w14:textId="77777777" w:rsidR="00CE131F" w:rsidRPr="00FA5D27" w:rsidRDefault="00000000">
            <w:r w:rsidRPr="00FA5D27">
              <w:rPr>
                <w:sz w:val="20"/>
                <w:szCs w:val="20"/>
              </w:rPr>
              <w:t>OnlineBackup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7D9484" w14:textId="77777777" w:rsidR="00CE131F" w:rsidRPr="00FA5D27" w:rsidRDefault="00000000">
            <w:r w:rsidRPr="00FA5D27">
              <w:rPr>
                <w:sz w:val="20"/>
                <w:szCs w:val="20"/>
              </w:rPr>
              <w:t>0.0316</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B769D6" w14:textId="77777777" w:rsidR="00CE131F" w:rsidRPr="00FA5D27" w:rsidRDefault="00000000">
            <w:r w:rsidRPr="00FA5D27">
              <w:rPr>
                <w:sz w:val="20"/>
                <w:szCs w:val="20"/>
              </w:rPr>
              <w:t>Protective service; absence signals lower product commitment</w:t>
            </w:r>
          </w:p>
        </w:tc>
      </w:tr>
      <w:tr w:rsidR="00CE131F" w:rsidRPr="00FA5D27" w14:paraId="12DB2B82"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9AE5A" w14:textId="77777777" w:rsidR="00CE131F" w:rsidRPr="00FA5D27" w:rsidRDefault="00000000">
            <w:r w:rsidRPr="00FA5D27">
              <w:rPr>
                <w:sz w:val="20"/>
                <w:szCs w:val="20"/>
              </w:rPr>
              <w:t>8</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BB97" w14:textId="77777777" w:rsidR="00CE131F" w:rsidRPr="00FA5D27" w:rsidRDefault="00000000">
            <w:r w:rsidRPr="00FA5D27">
              <w:rPr>
                <w:sz w:val="20"/>
                <w:szCs w:val="20"/>
              </w:rPr>
              <w:t>Dependents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3644D" w14:textId="77777777" w:rsidR="00CE131F" w:rsidRPr="00FA5D27" w:rsidRDefault="00000000">
            <w:r w:rsidRPr="00FA5D27">
              <w:rPr>
                <w:sz w:val="20"/>
                <w:szCs w:val="20"/>
              </w:rPr>
              <w:t>0.0281</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BBACA6" w14:textId="77777777" w:rsidR="00CE131F" w:rsidRPr="00FA5D27" w:rsidRDefault="00000000">
            <w:r w:rsidRPr="00FA5D27">
              <w:rPr>
                <w:sz w:val="20"/>
                <w:szCs w:val="20"/>
              </w:rPr>
              <w:t>Family accounts exhibit stickier usage patterns</w:t>
            </w:r>
          </w:p>
        </w:tc>
      </w:tr>
      <w:tr w:rsidR="00CE131F" w:rsidRPr="00FA5D27" w14:paraId="45C66E61"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20CD79" w14:textId="77777777" w:rsidR="00CE131F" w:rsidRPr="00FA5D27" w:rsidRDefault="00000000">
            <w:r w:rsidRPr="00FA5D27">
              <w:rPr>
                <w:sz w:val="20"/>
                <w:szCs w:val="20"/>
              </w:rPr>
              <w:t>9</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77A473" w14:textId="77777777" w:rsidR="00CE131F" w:rsidRPr="00FA5D27" w:rsidRDefault="00000000">
            <w:r w:rsidRPr="00FA5D27">
              <w:rPr>
                <w:sz w:val="20"/>
                <w:szCs w:val="20"/>
              </w:rPr>
              <w:t>InternetService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CB59A" w14:textId="77777777" w:rsidR="00CE131F" w:rsidRPr="00FA5D27" w:rsidRDefault="00000000">
            <w:r w:rsidRPr="00FA5D27">
              <w:rPr>
                <w:sz w:val="20"/>
                <w:szCs w:val="20"/>
              </w:rPr>
              <w:t>0.0277</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FCF74" w14:textId="77777777" w:rsidR="00CE131F" w:rsidRPr="00FA5D27" w:rsidRDefault="00000000">
            <w:r w:rsidRPr="00FA5D27">
              <w:rPr>
                <w:sz w:val="20"/>
                <w:szCs w:val="20"/>
              </w:rPr>
              <w:t>Fiber optic customers show elevated churn; premium tier pain point</w:t>
            </w:r>
          </w:p>
        </w:tc>
      </w:tr>
      <w:tr w:rsidR="00CE131F" w:rsidRPr="00FA5D27" w14:paraId="15F8F021"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565E3" w14:textId="77777777" w:rsidR="00CE131F" w:rsidRPr="00FA5D27" w:rsidRDefault="00000000">
            <w:r w:rsidRPr="00FA5D27">
              <w:rPr>
                <w:sz w:val="20"/>
                <w:szCs w:val="20"/>
              </w:rPr>
              <w:t>10</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A2AFD2" w14:textId="77777777" w:rsidR="00CE131F" w:rsidRPr="00FA5D27" w:rsidRDefault="00000000">
            <w:r w:rsidRPr="00FA5D27">
              <w:rPr>
                <w:sz w:val="20"/>
                <w:szCs w:val="20"/>
              </w:rPr>
              <w:t>PaymentMethod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FFCE1" w14:textId="77777777" w:rsidR="00CE131F" w:rsidRPr="00FA5D27" w:rsidRDefault="00000000">
            <w:r w:rsidRPr="00FA5D27">
              <w:rPr>
                <w:sz w:val="20"/>
                <w:szCs w:val="20"/>
              </w:rPr>
              <w:t>0.0237</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52BAB" w14:textId="77777777" w:rsidR="00CE131F" w:rsidRPr="00FA5D27" w:rsidRDefault="00000000">
            <w:r w:rsidRPr="00FA5D27">
              <w:rPr>
                <w:sz w:val="20"/>
                <w:szCs w:val="20"/>
              </w:rPr>
              <w:t>Electronic check payers churn at higher rates</w:t>
            </w:r>
          </w:p>
        </w:tc>
      </w:tr>
    </w:tbl>
    <w:p w14:paraId="0A20CD86" w14:textId="77777777" w:rsidR="00CE131F" w:rsidRPr="00FA5D27" w:rsidRDefault="00CE131F"/>
    <w:p w14:paraId="2779559D" w14:textId="09AAFADB" w:rsidR="00CE131F" w:rsidRPr="00FA5D27" w:rsidRDefault="00000000">
      <w:pPr>
        <w:spacing w:after="160" w:line="480" w:lineRule="auto"/>
        <w:jc w:val="both"/>
      </w:pPr>
      <w:r w:rsidRPr="00FA5D27">
        <w:t>The dominance of Contract type (importance = 0.3956) is the single most actionable finding in this analysis. No other feature comes close: MonthlyCharges (</w:t>
      </w:r>
      <w:r w:rsidR="00862E10" w:rsidRPr="00FA5D27">
        <w:t>second-ranked) accounts for</w:t>
      </w:r>
      <w:r w:rsidRPr="00FA5D27">
        <w:t xml:space="preserve"> approximately one-third of </w:t>
      </w:r>
      <w:r w:rsidR="00862E10" w:rsidRPr="00FA5D27">
        <w:t>the contract's</w:t>
      </w:r>
      <w:r w:rsidRPr="00FA5D27">
        <w:t xml:space="preserve"> predictive power. The </w:t>
      </w:r>
      <w:r w:rsidR="00862E10" w:rsidRPr="00FA5D27">
        <w:t>top 2</w:t>
      </w:r>
      <w:r w:rsidRPr="00FA5D27">
        <w:t xml:space="preserve"> features</w:t>
      </w:r>
      <w:r w:rsidR="00862E10" w:rsidRPr="00FA5D27">
        <w:t xml:space="preserve">, contract type and monthly billing, </w:t>
      </w:r>
      <w:r w:rsidRPr="00FA5D27">
        <w:t>together explain over 52% of the model's predictive signal. This concentration suggests that churn in this dataset is not a diffuse multi-factor phenomenon but is largely driven by structural commitment and price sensitivity.</w:t>
      </w:r>
    </w:p>
    <w:p w14:paraId="74D629E5" w14:textId="77777777" w:rsidR="00CE131F" w:rsidRPr="00FA5D27" w:rsidRDefault="00000000">
      <w:pPr>
        <w:pStyle w:val="Heading2"/>
        <w:rPr>
          <w:color w:val="auto"/>
        </w:rPr>
      </w:pPr>
      <w:r w:rsidRPr="00FA5D27">
        <w:rPr>
          <w:color w:val="auto"/>
        </w:rPr>
        <w:t>Precision-Recall Analysis</w:t>
      </w:r>
    </w:p>
    <w:p w14:paraId="5712296E" w14:textId="28521D1F" w:rsidR="00CE131F" w:rsidRPr="00FA5D27" w:rsidRDefault="00000000">
      <w:pPr>
        <w:spacing w:after="160" w:line="480" w:lineRule="auto"/>
        <w:jc w:val="both"/>
      </w:pPr>
      <w:r w:rsidRPr="00FA5D27">
        <w:t>The Precision-Recall curve for the tuned Gradient Boosting model showed an Average Precision (AP) score of 0.62</w:t>
      </w:r>
      <w:r w:rsidR="00862E10" w:rsidRPr="00FA5D27">
        <w:t>, compared with</w:t>
      </w:r>
      <w:r w:rsidRPr="00FA5D27">
        <w:t xml:space="preserve"> a random baseline of 0.266 (the churn rate). This represents a 2.3x improvement over chance, confirming meaningful discriminative capability on the imbalanced problem. The curve illustrates the expected trade-off: at the default 0.50 threshold, the model achieves 60% recall at 55% precision. Lowering the threshold to 0.35–0.40 would </w:t>
      </w:r>
      <w:r w:rsidRPr="00FA5D27">
        <w:lastRenderedPageBreak/>
        <w:t>improve recall to approximately 70–75% at the cost of reducing precision to 45–50%</w:t>
      </w:r>
      <w:r w:rsidR="00862E10" w:rsidRPr="00FA5D27">
        <w:t xml:space="preserve">, </w:t>
      </w:r>
      <w:r w:rsidRPr="00FA5D27">
        <w:t>a trade-off that is likely worthwhile given the asymmetric cost structure (false negatives cost more than false positives).</w:t>
      </w:r>
    </w:p>
    <w:p w14:paraId="6ECC48E2" w14:textId="77777777" w:rsidR="00CE131F" w:rsidRPr="00FA5D27" w:rsidRDefault="00000000">
      <w:pPr>
        <w:pStyle w:val="Heading2"/>
        <w:rPr>
          <w:color w:val="auto"/>
        </w:rPr>
      </w:pPr>
      <w:r w:rsidRPr="00FA5D27">
        <w:rPr>
          <w:color w:val="auto"/>
        </w:rPr>
        <w:t>Cross-Validation Stability</w:t>
      </w:r>
    </w:p>
    <w:p w14:paraId="2E1503D5" w14:textId="5BB28766" w:rsidR="00CE131F" w:rsidRPr="00FA5D27" w:rsidRDefault="00000000">
      <w:pPr>
        <w:spacing w:after="160" w:line="480" w:lineRule="auto"/>
        <w:jc w:val="both"/>
      </w:pPr>
      <w:r w:rsidRPr="00FA5D27">
        <w:t xml:space="preserve">Five-fold cross-validation on the SMOTE-balanced training set </w:t>
      </w:r>
      <w:r w:rsidR="00862E10" w:rsidRPr="00FA5D27">
        <w:t>yielded fold-level AUC scores of 0.8381, 0.8766, 0.9797, 0.9687, and 0.9717, with a mean AUC of 0.9270 and</w:t>
      </w:r>
      <w:r w:rsidRPr="00FA5D27">
        <w:t xml:space="preserve"> a standard deviation of 0.0583. The two lower folds (0.84 and 0.88) indicate that the model's performance is somewhat sensitive to which customers are held out for validation</w:t>
      </w:r>
      <w:r w:rsidR="00862E10" w:rsidRPr="00FA5D27">
        <w:t xml:space="preserve">, </w:t>
      </w:r>
      <w:r w:rsidRPr="00FA5D27">
        <w:t xml:space="preserve">a pattern consistent with churn being concentrated in specific customer segments (new, month-to-month, high-charge) that may not be uniformly represented across all folds. The test set AUC of 0.8169 represents </w:t>
      </w:r>
      <w:r w:rsidR="00F67B8F">
        <w:t xml:space="preserve">a realistic estimate of production performance </w:t>
      </w:r>
      <w:r w:rsidRPr="00FA5D27">
        <w:t>against naturally distributed, unseen data.</w:t>
      </w:r>
    </w:p>
    <w:p w14:paraId="7740D46C" w14:textId="77777777" w:rsidR="00CE131F" w:rsidRPr="00FA5D27" w:rsidRDefault="00000000">
      <w:pPr>
        <w:pStyle w:val="Heading2"/>
        <w:rPr>
          <w:color w:val="auto"/>
        </w:rPr>
      </w:pPr>
      <w:r w:rsidRPr="00FA5D27">
        <w:rPr>
          <w:color w:val="auto"/>
        </w:rPr>
        <w:t>Impact of SMOTE on Model Behavior</w:t>
      </w:r>
    </w:p>
    <w:p w14:paraId="7383C85C" w14:textId="2AC9C3DA" w:rsidR="00CE131F" w:rsidRPr="00FA5D27" w:rsidRDefault="00000000" w:rsidP="00862E10">
      <w:pPr>
        <w:spacing w:after="160" w:line="480" w:lineRule="auto"/>
        <w:jc w:val="both"/>
      </w:pPr>
      <w:r w:rsidRPr="00FA5D27">
        <w:t xml:space="preserve">Applying SMOTE to the training set produced a significant improvement in churn recall across all models. Without SMOTE, preliminary testing suggested typical recall values of 30–40% for tree-based models. With SMOTE balancing, recall improved to </w:t>
      </w:r>
      <w:r w:rsidR="00862E10" w:rsidRPr="00FA5D27">
        <w:t xml:space="preserve">57–72%, </w:t>
      </w:r>
      <w:r w:rsidRPr="00FA5D27">
        <w:t>a substantial gain in the business-critical metric. The trade-off, as expected, was a reduction in precision (</w:t>
      </w:r>
      <w:r w:rsidR="00862E10" w:rsidRPr="00FA5D27">
        <w:t xml:space="preserve">an </w:t>
      </w:r>
      <w:r w:rsidR="00F67B8F">
        <w:t>increase in the</w:t>
      </w:r>
      <w:r w:rsidR="00862E10" w:rsidRPr="00FA5D27">
        <w:t xml:space="preserve"> false-positive</w:t>
      </w:r>
      <w:r w:rsidRPr="00FA5D27">
        <w:t xml:space="preserve"> rate). For the telecom churn use case, where the cost of a missed churner substantially exceeds the cost of an unnecessary retention </w:t>
      </w:r>
      <w:r w:rsidR="00862E10" w:rsidRPr="00FA5D27">
        <w:t>contract</w:t>
      </w:r>
      <w:r w:rsidRPr="00FA5D27">
        <w:t>, this trade-off is explicitly justified.</w:t>
      </w:r>
      <w:r w:rsidRPr="00FA5D27">
        <w:br w:type="page"/>
      </w:r>
    </w:p>
    <w:p w14:paraId="21AA735A" w14:textId="77777777" w:rsidR="00CE131F" w:rsidRPr="00FA5D27" w:rsidRDefault="00000000">
      <w:pPr>
        <w:pStyle w:val="Heading1"/>
        <w:rPr>
          <w:color w:val="auto"/>
        </w:rPr>
      </w:pPr>
      <w:r w:rsidRPr="00FA5D27">
        <w:rPr>
          <w:color w:val="auto"/>
        </w:rPr>
        <w:lastRenderedPageBreak/>
        <w:t>Conclusions</w:t>
      </w:r>
    </w:p>
    <w:p w14:paraId="2317F5F9" w14:textId="77777777" w:rsidR="00CE131F" w:rsidRPr="00FA5D27" w:rsidRDefault="00000000">
      <w:pPr>
        <w:pStyle w:val="Heading2"/>
        <w:rPr>
          <w:color w:val="auto"/>
        </w:rPr>
      </w:pPr>
      <w:r w:rsidRPr="00FA5D27">
        <w:rPr>
          <w:color w:val="auto"/>
        </w:rPr>
        <w:t>Summary of Findings</w:t>
      </w:r>
    </w:p>
    <w:p w14:paraId="694426B9" w14:textId="47821CB2" w:rsidR="00CE131F" w:rsidRPr="00FA5D27" w:rsidRDefault="00000000">
      <w:pPr>
        <w:spacing w:after="160" w:line="480" w:lineRule="auto"/>
        <w:jc w:val="both"/>
      </w:pPr>
      <w:r w:rsidRPr="00FA5D27">
        <w:t xml:space="preserve">This project successfully developed and evaluated a complete predictive analytics pipeline for customer churn detection in the telecommunications industry. The analysis answered the central research question affirmatively: customer churn can be predicted with meaningful reliability from available </w:t>
      </w:r>
      <w:r w:rsidR="00862E10" w:rsidRPr="00FA5D27">
        <w:t>accounts</w:t>
      </w:r>
      <w:r w:rsidRPr="00FA5D27">
        <w:t>, demographic, billing, and service-subscription data, with a best-performing ROC-AUC of 0.8214 on a held-out test set of 1,407 customers.</w:t>
      </w:r>
    </w:p>
    <w:p w14:paraId="768E7C2B" w14:textId="27A32AE0" w:rsidR="00CE131F" w:rsidRPr="00FA5D27" w:rsidRDefault="00000000">
      <w:pPr>
        <w:spacing w:after="160" w:line="480" w:lineRule="auto"/>
        <w:jc w:val="both"/>
      </w:pPr>
      <w:r w:rsidRPr="00FA5D27">
        <w:t>The most significant finding is the extraordinary dominance of contract type as a churn predictor (feature importance = 0.3956). Month-to-month customers are not merely at elevated risk</w:t>
      </w:r>
      <w:r w:rsidR="00862E10" w:rsidRPr="00FA5D27">
        <w:t xml:space="preserve">; </w:t>
      </w:r>
      <w:r w:rsidRPr="00FA5D27">
        <w:t xml:space="preserve">contract type is the structural foundation upon which almost 40% of the model's predictive power rests. Paired with monthly billing amounts (importance = 0.1240) and service add-on adoption patterns, the data </w:t>
      </w:r>
      <w:r w:rsidR="00862E10" w:rsidRPr="00FA5D27">
        <w:t>paints</w:t>
      </w:r>
      <w:r w:rsidRPr="00FA5D27">
        <w:t xml:space="preserve"> a coherent portrait of a churn-prone customer: new to the provider, on a month-to-month contract, paying a higher-than-average monthly bill, and not subscribed to security or support services.</w:t>
      </w:r>
    </w:p>
    <w:p w14:paraId="533E6C37" w14:textId="77777777" w:rsidR="00CE131F" w:rsidRPr="00FA5D27" w:rsidRDefault="00000000">
      <w:pPr>
        <w:pStyle w:val="Heading2"/>
        <w:rPr>
          <w:color w:val="auto"/>
        </w:rPr>
      </w:pPr>
      <w:r w:rsidRPr="00FA5D27">
        <w:rPr>
          <w:color w:val="auto"/>
        </w:rPr>
        <w:t>Business Recommendations</w:t>
      </w:r>
    </w:p>
    <w:p w14:paraId="1CCA57B8" w14:textId="77777777" w:rsidR="00CE131F" w:rsidRPr="00FA5D27" w:rsidRDefault="00000000">
      <w:pPr>
        <w:spacing w:after="160" w:line="480" w:lineRule="auto"/>
        <w:jc w:val="both"/>
      </w:pPr>
      <w:r w:rsidRPr="00FA5D27">
        <w:t>The following five recommendations are derived directly from model findings and ranked by expected impact.</w:t>
      </w:r>
    </w:p>
    <w:p w14:paraId="1993EA3D" w14:textId="77777777" w:rsidR="00CE131F" w:rsidRPr="00FA5D27" w:rsidRDefault="00000000">
      <w:pPr>
        <w:pStyle w:val="Heading3"/>
        <w:rPr>
          <w:color w:val="auto"/>
        </w:rPr>
      </w:pPr>
      <w:r w:rsidRPr="00FA5D27">
        <w:rPr>
          <w:color w:val="auto"/>
        </w:rPr>
        <w:t>Recommendation 1: Contract Migration as the Primary Retention Strategy</w:t>
      </w:r>
    </w:p>
    <w:p w14:paraId="5A8DE912" w14:textId="74586A1B" w:rsidR="00CE131F" w:rsidRPr="00FA5D27" w:rsidRDefault="00000000">
      <w:pPr>
        <w:spacing w:after="160" w:line="480" w:lineRule="auto"/>
        <w:jc w:val="both"/>
      </w:pPr>
      <w:r w:rsidRPr="00FA5D27">
        <w:t>Contract type accounts for 39.6% of the model's predictive power. Month-to-month customers should be prioritized for migration to annual or two-year contracts through incentive campaigns</w:t>
      </w:r>
      <w:r w:rsidR="00862E10" w:rsidRPr="00FA5D27">
        <w:t xml:space="preserve"> that include</w:t>
      </w:r>
      <w:r w:rsidRPr="00FA5D27">
        <w:t xml:space="preserve"> rate locks, service upgrades, and loyalty credits. A quarterly 'Commitment Rewards' campaign targeting month-to-month customers with </w:t>
      </w:r>
      <w:r w:rsidR="00862E10" w:rsidRPr="00FA5D27">
        <w:t>tenures</w:t>
      </w:r>
      <w:r w:rsidRPr="00FA5D27">
        <w:t xml:space="preserve"> under 12 months is recommended. </w:t>
      </w:r>
      <w:r w:rsidRPr="00FA5D27">
        <w:lastRenderedPageBreak/>
        <w:t>Moving 25% of high-risk month-to-month customers to annual contracts could reduce churn in that cohort by an estimated 8–12 percentage points.</w:t>
      </w:r>
    </w:p>
    <w:p w14:paraId="11333940" w14:textId="77777777" w:rsidR="00CE131F" w:rsidRPr="00FA5D27" w:rsidRDefault="00000000">
      <w:pPr>
        <w:pStyle w:val="Heading3"/>
        <w:rPr>
          <w:color w:val="auto"/>
        </w:rPr>
      </w:pPr>
      <w:r w:rsidRPr="00FA5D27">
        <w:rPr>
          <w:color w:val="auto"/>
        </w:rPr>
        <w:t>Recommendation 2: High-Charge Customer Value Reviews</w:t>
      </w:r>
    </w:p>
    <w:p w14:paraId="7527FA54" w14:textId="14E5E159" w:rsidR="00CE131F" w:rsidRPr="00FA5D27" w:rsidRDefault="00000000">
      <w:pPr>
        <w:spacing w:after="160" w:line="480" w:lineRule="auto"/>
        <w:jc w:val="both"/>
      </w:pPr>
      <w:r w:rsidRPr="00FA5D27">
        <w:t xml:space="preserve">Customers paying above the dataset median (approximately $64.76/month) on month-to-month contracts represent the </w:t>
      </w:r>
      <w:r w:rsidR="00862E10" w:rsidRPr="00FA5D27">
        <w:t>highest risk</w:t>
      </w:r>
      <w:r w:rsidRPr="00FA5D27">
        <w:t xml:space="preserve"> intersection. Proactive account review outreach within 60 days of joining</w:t>
      </w:r>
      <w:r w:rsidR="00862E10" w:rsidRPr="00FA5D27">
        <w:t xml:space="preserve">, </w:t>
      </w:r>
      <w:r w:rsidRPr="00FA5D27">
        <w:t>ensuring customers are on the right plan for their usage</w:t>
      </w:r>
      <w:r w:rsidR="00862E10" w:rsidRPr="00FA5D27">
        <w:t xml:space="preserve">, </w:t>
      </w:r>
      <w:r w:rsidRPr="00FA5D27">
        <w:t>directly addresses the second-largest churn driver. This shifts the retention team from reactive cancellation calls to proactive value communication.</w:t>
      </w:r>
    </w:p>
    <w:p w14:paraId="19BB5D8E" w14:textId="77777777" w:rsidR="00CE131F" w:rsidRPr="00FA5D27" w:rsidRDefault="00000000">
      <w:pPr>
        <w:pStyle w:val="Heading3"/>
        <w:rPr>
          <w:color w:val="auto"/>
        </w:rPr>
      </w:pPr>
      <w:r w:rsidRPr="00FA5D27">
        <w:rPr>
          <w:color w:val="auto"/>
        </w:rPr>
        <w:t>Recommendation 3: Model-Driven Monthly Churn Risk Scoring</w:t>
      </w:r>
    </w:p>
    <w:p w14:paraId="4400DFEF" w14:textId="61B6C9AA" w:rsidR="00CE131F" w:rsidRPr="00FA5D27" w:rsidRDefault="00000000">
      <w:pPr>
        <w:spacing w:after="160" w:line="480" w:lineRule="auto"/>
        <w:jc w:val="both"/>
      </w:pPr>
      <w:r w:rsidRPr="00FA5D27">
        <w:t xml:space="preserve">With </w:t>
      </w:r>
      <w:r w:rsidR="00081E86" w:rsidRPr="00FA5D27">
        <w:t>a</w:t>
      </w:r>
      <w:r w:rsidR="00862E10" w:rsidRPr="00FA5D27">
        <w:t xml:space="preserve"> </w:t>
      </w:r>
      <w:r w:rsidRPr="00FA5D27">
        <w:t xml:space="preserve">ROC-AUC of 0.82, the Gradient Boosting model provides reliable customer-level </w:t>
      </w:r>
      <w:r w:rsidR="00862E10" w:rsidRPr="00FA5D27">
        <w:t>rankings of churn probability</w:t>
      </w:r>
      <w:r w:rsidRPr="00FA5D27">
        <w:t xml:space="preserve">. Deployed as a monthly scoring engine, the model can flag the top 20% of customers by </w:t>
      </w:r>
      <w:r w:rsidR="00862E10" w:rsidRPr="00FA5D27">
        <w:t>churning</w:t>
      </w:r>
      <w:r w:rsidRPr="00FA5D27">
        <w:t xml:space="preserve"> probability for retention outreach. The decision threshold should be calibrated using a cost matrix that accounts for the asymmetric business cost of false negatives versus false positives. The model should be retrained quarterly using a rolling 12-month customer data window to capture behavioral drift.</w:t>
      </w:r>
    </w:p>
    <w:p w14:paraId="709BBB5F" w14:textId="77777777" w:rsidR="00CE131F" w:rsidRPr="00FA5D27" w:rsidRDefault="00000000">
      <w:pPr>
        <w:pStyle w:val="Heading3"/>
        <w:rPr>
          <w:color w:val="auto"/>
        </w:rPr>
      </w:pPr>
      <w:r w:rsidRPr="00FA5D27">
        <w:rPr>
          <w:color w:val="auto"/>
        </w:rPr>
        <w:t>Recommendation 4: Default-On Service Trial Programs</w:t>
      </w:r>
    </w:p>
    <w:p w14:paraId="21702CC4" w14:textId="3EAD979F" w:rsidR="00CE131F" w:rsidRPr="00FA5D27" w:rsidRDefault="00000000">
      <w:pPr>
        <w:spacing w:after="160" w:line="480" w:lineRule="auto"/>
        <w:jc w:val="both"/>
      </w:pPr>
      <w:r w:rsidRPr="00FA5D27">
        <w:t>Online Security (importance = 0.0691) and Tech Support (importance = 0.0437) are among the top churn predictors, with their absence signaling higher churn risk. Offering free 90-day trials of these services during new customer onboarding</w:t>
      </w:r>
      <w:r w:rsidR="00862E10" w:rsidRPr="00FA5D27">
        <w:t>, using opt-out rather than opt-in mechanics, increases product stickiness and reduces the likelihood</w:t>
      </w:r>
      <w:r w:rsidRPr="00FA5D27">
        <w:t xml:space="preserve"> of early churn. Add-on adoption deepens perceived value and raises switching costs.</w:t>
      </w:r>
    </w:p>
    <w:p w14:paraId="67721B6A" w14:textId="77777777" w:rsidR="00CE131F" w:rsidRPr="00FA5D27" w:rsidRDefault="00000000">
      <w:pPr>
        <w:pStyle w:val="Heading3"/>
        <w:rPr>
          <w:color w:val="auto"/>
        </w:rPr>
      </w:pPr>
      <w:r w:rsidRPr="00FA5D27">
        <w:rPr>
          <w:color w:val="auto"/>
        </w:rPr>
        <w:t>Recommendation 5: Fiber Optic Churn Investigation</w:t>
      </w:r>
    </w:p>
    <w:p w14:paraId="1F92A4E6" w14:textId="6FB225C5" w:rsidR="00CE131F" w:rsidRPr="00FA5D27" w:rsidRDefault="00000000">
      <w:pPr>
        <w:spacing w:after="160" w:line="480" w:lineRule="auto"/>
        <w:jc w:val="both"/>
      </w:pPr>
      <w:r w:rsidRPr="00FA5D27">
        <w:lastRenderedPageBreak/>
        <w:t xml:space="preserve">Fiber optic customers churn at higher rates than DSL customers despite subscribing to a premium service tier. This </w:t>
      </w:r>
      <w:r w:rsidR="00862E10" w:rsidRPr="00FA5D27">
        <w:t>counterintuitive</w:t>
      </w:r>
      <w:r w:rsidRPr="00FA5D27">
        <w:t xml:space="preserve"> pattern warrants qualitative investigation through customer satisfaction surveys, Net Promoter Score (NPS) segmentation, and competitive pricing analysis. The model identifies the signal; human investigation must determine the cause, whether pricing, service reliability, or competitive alternatives.</w:t>
      </w:r>
    </w:p>
    <w:p w14:paraId="57CCDAE7" w14:textId="77777777" w:rsidR="00CE131F" w:rsidRPr="00FA5D27" w:rsidRDefault="00000000">
      <w:pPr>
        <w:pStyle w:val="Heading2"/>
        <w:rPr>
          <w:color w:val="auto"/>
        </w:rPr>
      </w:pPr>
      <w:r w:rsidRPr="00FA5D27">
        <w:rPr>
          <w:color w:val="auto"/>
        </w:rPr>
        <w:t>Limitations</w:t>
      </w:r>
    </w:p>
    <w:p w14:paraId="2F44A786" w14:textId="3A226897" w:rsidR="00081E86" w:rsidRPr="00081E86" w:rsidRDefault="00000000" w:rsidP="00081E86">
      <w:pPr>
        <w:spacing w:after="160" w:line="480" w:lineRule="auto"/>
        <w:jc w:val="both"/>
      </w:pPr>
      <w:r w:rsidRPr="00FA5D27">
        <w:t xml:space="preserve">Several important limitations constrain the conclusions that can be drawn from this analysis. The dataset represents a single historical snapshot, capturing no behavioral change over time. Dynamic features such as increasing complaint frequency, declining usage, or competitor interaction would likely improve predictive performance. The 148 false negatives (39.6% miss rate) represent a meaningful ceiling on model utility with current features, suggesting that enriching the feature set with call center logs, service usage data, or customer satisfaction scores would be a high-value investment. LabelEncoder's ordinal treatment of nominal features such as PaymentMethod and InternetService may impose artificial ordering relationships that could be addressed through one-hot encoding in future iterations. The current 0.50 decision threshold is not optimized for the telecom cost structure; a lower threshold calibrated to the business cost ratio of false negatives to false positives would likely improve operational performance. Finally, the gap between cross-validation AUC (0.927) and test AUC (0.817) indicates some degree of overfitting to the SMOTE-generated training distribution, </w:t>
      </w:r>
      <w:r w:rsidR="00862E10" w:rsidRPr="00FA5D27">
        <w:t>suggesting</w:t>
      </w:r>
      <w:r w:rsidRPr="00FA5D27">
        <w:t xml:space="preserve"> alternative </w:t>
      </w:r>
      <w:r w:rsidR="00862E10" w:rsidRPr="00FA5D27">
        <w:t>imbalance-correction strategies, such as under-sampling or class weighting,</w:t>
      </w:r>
      <w:r w:rsidRPr="00FA5D27">
        <w:t xml:space="preserve"> merit evaluation.</w:t>
      </w:r>
    </w:p>
    <w:p w14:paraId="5E18022A" w14:textId="77777777" w:rsidR="00081E86" w:rsidRDefault="00081E86">
      <w:pPr>
        <w:rPr>
          <w:b/>
          <w:bCs/>
          <w:sz w:val="26"/>
          <w:szCs w:val="26"/>
        </w:rPr>
      </w:pPr>
      <w:r>
        <w:br w:type="page"/>
      </w:r>
    </w:p>
    <w:p w14:paraId="5BE9517B" w14:textId="55133D00" w:rsidR="00CE131F" w:rsidRPr="00FA5D27" w:rsidRDefault="00000000">
      <w:pPr>
        <w:pStyle w:val="Heading2"/>
        <w:rPr>
          <w:color w:val="auto"/>
        </w:rPr>
      </w:pPr>
      <w:r w:rsidRPr="00FA5D27">
        <w:rPr>
          <w:color w:val="auto"/>
        </w:rPr>
        <w:lastRenderedPageBreak/>
        <w:t>Future Work</w:t>
      </w:r>
    </w:p>
    <w:p w14:paraId="20E7C230" w14:textId="77777777" w:rsidR="00CE131F" w:rsidRPr="00FA5D27" w:rsidRDefault="00000000">
      <w:pPr>
        <w:spacing w:after="160" w:line="480" w:lineRule="auto"/>
        <w:jc w:val="both"/>
      </w:pPr>
      <w:r w:rsidRPr="00FA5D27">
        <w:t>Future extensions of this work should incorporate time-series features capturing behavioral trends (month-over-month charge increases, usage pattern changes, support ticket frequency), test ensemble methods combining multiple base classifiers, and explore threshold optimization using an expected-value framework informed by actual business cost parameters. Integration with real-time customer data systems would enable the model to be deployed as a production-grade churn risk scoring engine. A model interpretability layer using SHAP (SHapley Additive exPlanations) values would provide customer-level explanations, enabling personalized retention messaging aligned with each customer's specific churn risk drivers.</w:t>
      </w:r>
    </w:p>
    <w:p w14:paraId="7611717E" w14:textId="77777777" w:rsidR="00CE131F" w:rsidRPr="00FA5D27" w:rsidRDefault="00000000">
      <w:pPr>
        <w:pStyle w:val="Heading2"/>
        <w:rPr>
          <w:color w:val="auto"/>
        </w:rPr>
      </w:pPr>
      <w:r w:rsidRPr="00FA5D27">
        <w:rPr>
          <w:color w:val="auto"/>
        </w:rPr>
        <w:t>Final Summary</w:t>
      </w:r>
    </w:p>
    <w:p w14:paraId="163BE89C" w14:textId="134614DF" w:rsidR="00CE131F" w:rsidRPr="00FA5D27" w:rsidRDefault="00000000">
      <w:pPr>
        <w:spacing w:after="160" w:line="480" w:lineRule="auto"/>
        <w:jc w:val="both"/>
      </w:pPr>
      <w:r w:rsidRPr="00FA5D27">
        <w:t>This project demonstrates that customer churn in the telecommunications industry is predictable with practical accuracy using standard machine learning techniques applied to commonly available account data. The Gradient Boosting model (AUC = 0.8214) is recommended as the production model for customer risk ranking, with Logistic Regression's superior recall (72%) making it a viable alternative when maximizing churner detection is the sole objective. The overriding takeaway is strategic: contract type is not merely a correlate of churn but its primary structural driver. Any retention program that fails to prioritize contract migration as its central mechanism is working against the evidence. The methodology developed here</w:t>
      </w:r>
      <w:r w:rsidR="00862E10" w:rsidRPr="00FA5D27">
        <w:t xml:space="preserve">, with rigorous data preparation, SMOTE-based class balancing, multi-model benchmarking, hyperparameter tuning, and business-oriented interpretation, </w:t>
      </w:r>
      <w:r w:rsidRPr="00FA5D27">
        <w:t>is fully reproducible and transferable to analogous retention analytics problems across industries.</w:t>
      </w:r>
    </w:p>
    <w:p w14:paraId="135769A3" w14:textId="77777777" w:rsidR="00CE131F" w:rsidRPr="00FA5D27" w:rsidRDefault="00000000">
      <w:r w:rsidRPr="00FA5D27">
        <w:br w:type="page"/>
      </w:r>
    </w:p>
    <w:p w14:paraId="1B7C5833" w14:textId="77777777" w:rsidR="00CE131F" w:rsidRPr="00FA5D27" w:rsidRDefault="00000000">
      <w:pPr>
        <w:pStyle w:val="Heading1"/>
        <w:rPr>
          <w:color w:val="auto"/>
        </w:rPr>
      </w:pPr>
      <w:r w:rsidRPr="00FA5D27">
        <w:rPr>
          <w:color w:val="auto"/>
        </w:rPr>
        <w:lastRenderedPageBreak/>
        <w:t>References</w:t>
      </w:r>
    </w:p>
    <w:p w14:paraId="0C506908" w14:textId="77777777" w:rsidR="00CE131F" w:rsidRPr="00FA5D27" w:rsidRDefault="00000000">
      <w:pPr>
        <w:spacing w:after="160" w:line="480" w:lineRule="auto"/>
        <w:jc w:val="both"/>
      </w:pPr>
      <w:r w:rsidRPr="00FA5D27">
        <w:t>Bhattacharya, C. B., &amp; Sen, S. (2003). Consumer-company identification: A framework for understanding consumers' relationships with companies. Journal of Marketing, 67(2), 76–88. https://doi.org/10.1509/jmkg.67.2.76.18609</w:t>
      </w:r>
    </w:p>
    <w:p w14:paraId="03DA1CD8" w14:textId="77777777" w:rsidR="00CE131F" w:rsidRPr="00FA5D27" w:rsidRDefault="00CE131F"/>
    <w:p w14:paraId="61914224" w14:textId="77777777" w:rsidR="00CE131F" w:rsidRPr="00FA5D27" w:rsidRDefault="00000000">
      <w:pPr>
        <w:spacing w:after="160" w:line="480" w:lineRule="auto"/>
        <w:jc w:val="both"/>
      </w:pPr>
      <w:r w:rsidRPr="00FA5D27">
        <w:t>Chawla, N. V., Bowyer, K. W., Hall, L. O., &amp; Kegelmeyer, W. P. (2002). SMOTE: Synthetic minority over-sampling technique. Journal of Artificial Intelligence Research, 16, 321–357. https://doi.org/10.1613/jair.953</w:t>
      </w:r>
    </w:p>
    <w:p w14:paraId="1CA33759" w14:textId="77777777" w:rsidR="00CE131F" w:rsidRPr="00FA5D27" w:rsidRDefault="00CE131F"/>
    <w:p w14:paraId="3C8F03C2" w14:textId="77777777" w:rsidR="00CE131F" w:rsidRPr="00FA5D27" w:rsidRDefault="00000000">
      <w:pPr>
        <w:spacing w:after="160" w:line="480" w:lineRule="auto"/>
        <w:jc w:val="both"/>
      </w:pPr>
      <w:r w:rsidRPr="00FA5D27">
        <w:t>Chen, T., &amp; Guestrin, C. (2016). XGBoost: A scalable tree boosting system. Proceedings of the 22nd ACM SIGKDD International Conference on Knowledge Discovery and Data Mining, 785–794. https://doi.org/10.1145/2939672.2939785</w:t>
      </w:r>
    </w:p>
    <w:p w14:paraId="55900CAE" w14:textId="77777777" w:rsidR="00CE131F" w:rsidRPr="00FA5D27" w:rsidRDefault="00CE131F"/>
    <w:p w14:paraId="12435BEF" w14:textId="77777777" w:rsidR="00CE131F" w:rsidRPr="00FA5D27" w:rsidRDefault="00000000">
      <w:pPr>
        <w:spacing w:after="160" w:line="480" w:lineRule="auto"/>
        <w:jc w:val="both"/>
      </w:pPr>
      <w:r w:rsidRPr="00FA5D27">
        <w:t>Friedman, J. H. (2001). Greedy function approximation: A gradient boosting machine. Annals of Statistics, 29(5), 1189–1232. https://doi.org/10.1214/aos/1013203451</w:t>
      </w:r>
    </w:p>
    <w:p w14:paraId="3D2AA8CE" w14:textId="77777777" w:rsidR="00CE131F" w:rsidRPr="00FA5D27" w:rsidRDefault="00CE131F"/>
    <w:p w14:paraId="289ABD88" w14:textId="77777777" w:rsidR="00CE131F" w:rsidRPr="00FA5D27" w:rsidRDefault="00000000">
      <w:pPr>
        <w:spacing w:after="160" w:line="480" w:lineRule="auto"/>
        <w:jc w:val="both"/>
      </w:pPr>
      <w:r w:rsidRPr="00FA5D27">
        <w:t>IBM Sample Data Sets. (2023). Telco customer churn. Kaggle. https://www.kaggle.com/blastchar/telco-customer-churn</w:t>
      </w:r>
    </w:p>
    <w:p w14:paraId="5365C3F3" w14:textId="77777777" w:rsidR="00CE131F" w:rsidRPr="00FA5D27" w:rsidRDefault="00CE131F"/>
    <w:p w14:paraId="021B2E4D" w14:textId="77777777" w:rsidR="00CE131F" w:rsidRPr="00FA5D27" w:rsidRDefault="00000000">
      <w:pPr>
        <w:spacing w:after="160" w:line="480" w:lineRule="auto"/>
        <w:jc w:val="both"/>
      </w:pPr>
      <w:r w:rsidRPr="00FA5D27">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67CBFE76" w14:textId="77777777" w:rsidR="00CE131F" w:rsidRPr="00FA5D27" w:rsidRDefault="00CE131F"/>
    <w:p w14:paraId="17EDE172" w14:textId="77777777" w:rsidR="00CE131F" w:rsidRPr="00FA5D27" w:rsidRDefault="00000000">
      <w:pPr>
        <w:spacing w:after="160" w:line="480" w:lineRule="auto"/>
        <w:jc w:val="both"/>
      </w:pPr>
      <w:r w:rsidRPr="00FA5D27">
        <w:t>Reichheld, F. F., &amp; Sasser, W. E. (1990). Zero defections: Quality comes to services. Harvard Business Review, 68(5), 105–111.</w:t>
      </w:r>
    </w:p>
    <w:p w14:paraId="1BEE7E1A" w14:textId="77777777" w:rsidR="00CE131F" w:rsidRPr="00FA5D27" w:rsidRDefault="00CE131F"/>
    <w:p w14:paraId="6C89F23E" w14:textId="6E584F79" w:rsidR="00CE131F" w:rsidRPr="00FA5D27" w:rsidRDefault="00000000" w:rsidP="00862E10">
      <w:pPr>
        <w:spacing w:after="160" w:line="480" w:lineRule="auto"/>
        <w:jc w:val="both"/>
      </w:pPr>
      <w:r w:rsidRPr="00FA5D27">
        <w:t xml:space="preserve">Verbeke, W., Dejaeger, K., Martens, D., Hur, J., &amp; Baesens, B. (2012). New insights into churn prediction in the telecommunication sector: A </w:t>
      </w:r>
      <w:r w:rsidR="00862E10" w:rsidRPr="00FA5D27">
        <w:t>profit-driven</w:t>
      </w:r>
      <w:r w:rsidRPr="00FA5D27">
        <w:t xml:space="preserve"> data mining approach. European Journal of Operational Research, 218(1), 211–229. https://doi.org/10.1016/j.ejor.2011.09.031</w:t>
      </w:r>
    </w:p>
    <w:sectPr w:rsidR="00CE131F" w:rsidRPr="00FA5D2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1EB11" w14:textId="77777777" w:rsidR="00603860" w:rsidRDefault="00603860">
      <w:r>
        <w:separator/>
      </w:r>
    </w:p>
  </w:endnote>
  <w:endnote w:type="continuationSeparator" w:id="0">
    <w:p w14:paraId="2ECAEA7B" w14:textId="77777777" w:rsidR="00603860" w:rsidRDefault="00603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6457" w14:textId="4A10AF4C" w:rsidR="00CE131F" w:rsidRDefault="00000000">
    <w:pPr>
      <w:pBdr>
        <w:top w:val="single" w:sz="6" w:space="1" w:color="1F3864"/>
      </w:pBdr>
      <w:jc w:val="center"/>
    </w:pPr>
    <w:r>
      <w:rPr>
        <w:color w:val="555555"/>
        <w:sz w:val="18"/>
        <w:szCs w:val="18"/>
      </w:rPr>
      <w:t xml:space="preserve">Manoj K </w:t>
    </w:r>
    <w:r w:rsidR="0040672E">
      <w:rPr>
        <w:color w:val="555555"/>
        <w:sz w:val="18"/>
        <w:szCs w:val="18"/>
      </w:rPr>
      <w:t>Kola | DSC</w:t>
    </w:r>
    <w:r>
      <w:rPr>
        <w:color w:val="555555"/>
        <w:sz w:val="18"/>
        <w:szCs w:val="18"/>
      </w:rPr>
      <w:t xml:space="preserve"> 630 – Predictive </w:t>
    </w:r>
    <w:r w:rsidR="0040672E">
      <w:rPr>
        <w:color w:val="555555"/>
        <w:sz w:val="18"/>
        <w:szCs w:val="18"/>
      </w:rPr>
      <w:t xml:space="preserve">Analytics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426B9" w14:textId="77777777" w:rsidR="00603860" w:rsidRDefault="00603860">
      <w:r>
        <w:separator/>
      </w:r>
    </w:p>
  </w:footnote>
  <w:footnote w:type="continuationSeparator" w:id="0">
    <w:p w14:paraId="3D9D017B" w14:textId="77777777" w:rsidR="00603860" w:rsidRDefault="006038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612E" w14:textId="77777777" w:rsidR="00CE131F" w:rsidRDefault="00000000">
    <w:pPr>
      <w:pBdr>
        <w:bottom w:val="single" w:sz="6" w:space="1" w:color="1F3864"/>
      </w:pBdr>
      <w:jc w:val="right"/>
    </w:pPr>
    <w:r>
      <w:rPr>
        <w:color w:val="555555"/>
        <w:sz w:val="18"/>
        <w:szCs w:val="18"/>
      </w:rPr>
      <w:t>Telecom Customer Churn Prediction | DSC 630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14F27"/>
    <w:multiLevelType w:val="hybridMultilevel"/>
    <w:tmpl w:val="B73610B4"/>
    <w:lvl w:ilvl="0" w:tplc="3E0EFC46">
      <w:start w:val="1"/>
      <w:numFmt w:val="bullet"/>
      <w:lvlText w:val="●"/>
      <w:lvlJc w:val="left"/>
      <w:pPr>
        <w:ind w:left="720" w:hanging="360"/>
      </w:pPr>
    </w:lvl>
    <w:lvl w:ilvl="1" w:tplc="C2F2374C">
      <w:start w:val="1"/>
      <w:numFmt w:val="bullet"/>
      <w:lvlText w:val="○"/>
      <w:lvlJc w:val="left"/>
      <w:pPr>
        <w:ind w:left="1440" w:hanging="360"/>
      </w:pPr>
    </w:lvl>
    <w:lvl w:ilvl="2" w:tplc="C5388B54">
      <w:start w:val="1"/>
      <w:numFmt w:val="bullet"/>
      <w:lvlText w:val="■"/>
      <w:lvlJc w:val="left"/>
      <w:pPr>
        <w:ind w:left="2160" w:hanging="360"/>
      </w:pPr>
    </w:lvl>
    <w:lvl w:ilvl="3" w:tplc="B52CD01E">
      <w:start w:val="1"/>
      <w:numFmt w:val="bullet"/>
      <w:lvlText w:val="●"/>
      <w:lvlJc w:val="left"/>
      <w:pPr>
        <w:ind w:left="2880" w:hanging="360"/>
      </w:pPr>
    </w:lvl>
    <w:lvl w:ilvl="4" w:tplc="BFE8B698">
      <w:start w:val="1"/>
      <w:numFmt w:val="bullet"/>
      <w:lvlText w:val="○"/>
      <w:lvlJc w:val="left"/>
      <w:pPr>
        <w:ind w:left="3600" w:hanging="360"/>
      </w:pPr>
    </w:lvl>
    <w:lvl w:ilvl="5" w:tplc="849E3F56">
      <w:start w:val="1"/>
      <w:numFmt w:val="bullet"/>
      <w:lvlText w:val="■"/>
      <w:lvlJc w:val="left"/>
      <w:pPr>
        <w:ind w:left="4320" w:hanging="360"/>
      </w:pPr>
    </w:lvl>
    <w:lvl w:ilvl="6" w:tplc="576ACF40">
      <w:start w:val="1"/>
      <w:numFmt w:val="bullet"/>
      <w:lvlText w:val="●"/>
      <w:lvlJc w:val="left"/>
      <w:pPr>
        <w:ind w:left="5040" w:hanging="360"/>
      </w:pPr>
    </w:lvl>
    <w:lvl w:ilvl="7" w:tplc="81E4813C">
      <w:start w:val="1"/>
      <w:numFmt w:val="bullet"/>
      <w:lvlText w:val="●"/>
      <w:lvlJc w:val="left"/>
      <w:pPr>
        <w:ind w:left="5760" w:hanging="360"/>
      </w:pPr>
    </w:lvl>
    <w:lvl w:ilvl="8" w:tplc="4A1680FE">
      <w:start w:val="1"/>
      <w:numFmt w:val="bullet"/>
      <w:lvlText w:val="●"/>
      <w:lvlJc w:val="left"/>
      <w:pPr>
        <w:ind w:left="6480" w:hanging="360"/>
      </w:pPr>
    </w:lvl>
  </w:abstractNum>
  <w:abstractNum w:abstractNumId="1" w15:restartNumberingAfterBreak="0">
    <w:nsid w:val="7B682959"/>
    <w:multiLevelType w:val="hybridMultilevel"/>
    <w:tmpl w:val="F03CF410"/>
    <w:lvl w:ilvl="0" w:tplc="AD2CDFBA">
      <w:start w:val="1"/>
      <w:numFmt w:val="bullet"/>
      <w:lvlText w:val="•"/>
      <w:lvlJc w:val="left"/>
      <w:pPr>
        <w:ind w:left="720" w:hanging="360"/>
      </w:pPr>
    </w:lvl>
    <w:lvl w:ilvl="1" w:tplc="A254F72C">
      <w:start w:val="1"/>
      <w:numFmt w:val="bullet"/>
      <w:lvlText w:val="◦"/>
      <w:lvlJc w:val="left"/>
      <w:pPr>
        <w:ind w:left="1080" w:hanging="360"/>
      </w:pPr>
    </w:lvl>
    <w:lvl w:ilvl="2" w:tplc="F3A0C248">
      <w:numFmt w:val="decimal"/>
      <w:lvlText w:val=""/>
      <w:lvlJc w:val="left"/>
    </w:lvl>
    <w:lvl w:ilvl="3" w:tplc="F8FA1B44">
      <w:numFmt w:val="decimal"/>
      <w:lvlText w:val=""/>
      <w:lvlJc w:val="left"/>
    </w:lvl>
    <w:lvl w:ilvl="4" w:tplc="5E30E434">
      <w:numFmt w:val="decimal"/>
      <w:lvlText w:val=""/>
      <w:lvlJc w:val="left"/>
    </w:lvl>
    <w:lvl w:ilvl="5" w:tplc="21344F1C">
      <w:numFmt w:val="decimal"/>
      <w:lvlText w:val=""/>
      <w:lvlJc w:val="left"/>
    </w:lvl>
    <w:lvl w:ilvl="6" w:tplc="3E1AF3A0">
      <w:numFmt w:val="decimal"/>
      <w:lvlText w:val=""/>
      <w:lvlJc w:val="left"/>
    </w:lvl>
    <w:lvl w:ilvl="7" w:tplc="CFC679D8">
      <w:numFmt w:val="decimal"/>
      <w:lvlText w:val=""/>
      <w:lvlJc w:val="left"/>
    </w:lvl>
    <w:lvl w:ilvl="8" w:tplc="B2F85226">
      <w:numFmt w:val="decimal"/>
      <w:lvlText w:val=""/>
      <w:lvlJc w:val="left"/>
    </w:lvl>
  </w:abstractNum>
  <w:num w:numId="1" w16cid:durableId="1332021957">
    <w:abstractNumId w:val="0"/>
    <w:lvlOverride w:ilvl="0">
      <w:startOverride w:val="1"/>
    </w:lvlOverride>
  </w:num>
  <w:num w:numId="2" w16cid:durableId="5321542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31F"/>
    <w:rsid w:val="00081E86"/>
    <w:rsid w:val="00174849"/>
    <w:rsid w:val="002B2D9F"/>
    <w:rsid w:val="0040672E"/>
    <w:rsid w:val="00603860"/>
    <w:rsid w:val="00862E10"/>
    <w:rsid w:val="00BB2F0C"/>
    <w:rsid w:val="00BC673C"/>
    <w:rsid w:val="00BF2AD5"/>
    <w:rsid w:val="00CE131F"/>
    <w:rsid w:val="00F67B8F"/>
    <w:rsid w:val="00FA5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6CA14"/>
  <w15:docId w15:val="{FCF9CD79-E97F-401C-837B-0D0C88A25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5496"/>
      <w:sz w:val="26"/>
      <w:szCs w:val="26"/>
    </w:rPr>
  </w:style>
  <w:style w:type="paragraph" w:styleId="Heading3">
    <w:name w:val="heading 3"/>
    <w:uiPriority w:val="9"/>
    <w:unhideWhenUsed/>
    <w:qFormat/>
    <w:pPr>
      <w:spacing w:before="200" w:after="60"/>
      <w:outlineLvl w:val="2"/>
    </w:pPr>
    <w:rPr>
      <w:b/>
      <w:bCs/>
      <w:color w:val="3857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0672E"/>
    <w:pPr>
      <w:tabs>
        <w:tab w:val="center" w:pos="4680"/>
        <w:tab w:val="right" w:pos="9360"/>
      </w:tabs>
    </w:pPr>
  </w:style>
  <w:style w:type="character" w:customStyle="1" w:styleId="HeaderChar">
    <w:name w:val="Header Char"/>
    <w:basedOn w:val="DefaultParagraphFont"/>
    <w:link w:val="Header"/>
    <w:uiPriority w:val="99"/>
    <w:rsid w:val="0040672E"/>
  </w:style>
  <w:style w:type="paragraph" w:styleId="Footer">
    <w:name w:val="footer"/>
    <w:basedOn w:val="Normal"/>
    <w:link w:val="FooterChar"/>
    <w:uiPriority w:val="99"/>
    <w:unhideWhenUsed/>
    <w:rsid w:val="0040672E"/>
    <w:pPr>
      <w:tabs>
        <w:tab w:val="center" w:pos="4680"/>
        <w:tab w:val="right" w:pos="9360"/>
      </w:tabs>
    </w:pPr>
  </w:style>
  <w:style w:type="character" w:customStyle="1" w:styleId="FooterChar">
    <w:name w:val="Footer Char"/>
    <w:basedOn w:val="DefaultParagraphFont"/>
    <w:link w:val="Footer"/>
    <w:uiPriority w:val="99"/>
    <w:rsid w:val="00406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685</TotalTime>
  <Pages>20</Pages>
  <Words>4309</Words>
  <Characters>24566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manojkumar kola</cp:lastModifiedBy>
  <cp:revision>6</cp:revision>
  <dcterms:created xsi:type="dcterms:W3CDTF">2026-05-28T01:21:00Z</dcterms:created>
  <dcterms:modified xsi:type="dcterms:W3CDTF">2026-05-29T13:14:00Z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3aa8c0c1-4c56-4906-80e4-db81ce91d495</vt:lpwstr>
  </property>
</Properties>
</file>