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C01E" w14:textId="77777777" w:rsidR="002C6049" w:rsidRPr="008773C6" w:rsidRDefault="00000000">
      <w:pPr>
        <w:spacing w:after="80"/>
        <w:jc w:val="center"/>
        <w:rPr>
          <w:rFonts w:asciiTheme="minorHAnsi" w:hAnsiTheme="minorHAnsi" w:cstheme="minorHAnsi"/>
          <w:b/>
          <w:bCs/>
        </w:rPr>
      </w:pPr>
      <w:r w:rsidRPr="008773C6">
        <w:rPr>
          <w:rFonts w:asciiTheme="minorHAnsi" w:hAnsiTheme="minorHAnsi" w:cstheme="minorHAnsi"/>
          <w:b/>
          <w:bCs/>
        </w:rPr>
        <w:t>DSC 640 — Data Presentation &amp; Visualization</w:t>
      </w:r>
    </w:p>
    <w:p w14:paraId="721A0A93" w14:textId="02FD9F87" w:rsidR="002C6049" w:rsidRPr="008773C6" w:rsidRDefault="00000000">
      <w:pPr>
        <w:spacing w:after="80"/>
        <w:jc w:val="center"/>
        <w:rPr>
          <w:rFonts w:asciiTheme="minorHAnsi" w:hAnsiTheme="minorHAnsi" w:cstheme="minorHAnsi"/>
        </w:rPr>
      </w:pPr>
      <w:r w:rsidRPr="008773C6">
        <w:rPr>
          <w:rFonts w:asciiTheme="minorHAnsi" w:hAnsiTheme="minorHAnsi" w:cstheme="minorHAnsi"/>
        </w:rPr>
        <w:t xml:space="preserve">Manoj K </w:t>
      </w:r>
      <w:r w:rsidR="000617B1" w:rsidRPr="008773C6">
        <w:rPr>
          <w:rFonts w:asciiTheme="minorHAnsi" w:hAnsiTheme="minorHAnsi" w:cstheme="minorHAnsi"/>
        </w:rPr>
        <w:t>Kola | Term</w:t>
      </w:r>
      <w:r w:rsidRPr="008773C6">
        <w:rPr>
          <w:rFonts w:asciiTheme="minorHAnsi" w:hAnsiTheme="minorHAnsi" w:cstheme="minorHAnsi"/>
        </w:rPr>
        <w:t xml:space="preserve"> Project — Milestone </w:t>
      </w:r>
      <w:r w:rsidR="00337372">
        <w:rPr>
          <w:rFonts w:asciiTheme="minorHAnsi" w:hAnsiTheme="minorHAnsi" w:cstheme="minorHAnsi"/>
        </w:rPr>
        <w:t>5</w:t>
      </w:r>
    </w:p>
    <w:p w14:paraId="6C1494C6" w14:textId="77777777" w:rsidR="002C6049" w:rsidRPr="008773C6" w:rsidRDefault="00000000">
      <w:pPr>
        <w:spacing w:after="320"/>
        <w:jc w:val="center"/>
        <w:rPr>
          <w:rFonts w:asciiTheme="minorHAnsi" w:hAnsiTheme="minorHAnsi" w:cstheme="minorHAnsi"/>
          <w:b/>
          <w:bCs/>
        </w:rPr>
      </w:pPr>
      <w:r w:rsidRPr="008773C6">
        <w:rPr>
          <w:rFonts w:asciiTheme="minorHAnsi" w:hAnsiTheme="minorHAnsi" w:cstheme="minorHAnsi"/>
          <w:b/>
          <w:bCs/>
        </w:rPr>
        <w:t>Analysis of the National Database of Childcare Prices</w:t>
      </w:r>
    </w:p>
    <w:p w14:paraId="6C9C5501"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1. Summary of Analysis</w:t>
      </w:r>
    </w:p>
    <w:p w14:paraId="7F40D517" w14:textId="0EB787C8"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National Database of Childcare Prices (NDCP), compiled by the U.S. Department of Labor Women’s Bureau, provided the foundation for this project. The dataset covers 2008–2018 at the county level across all 50 states and the District of Columbia, capturing median weekly childcare prices for center-based (CB) and family/home-based (FCC) care across infant, toddler, and preschool age groups. The analysis examined how costs evolved over a decade relative to household income, identifying affordability gaps and geographic disparities.</w:t>
      </w:r>
    </w:p>
    <w:p w14:paraId="753BDC9F"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Findings</w:t>
      </w:r>
    </w:p>
    <w:p w14:paraId="148BB6FA"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Center-based infant care rose approximately 28% nationally from 2008 to 2018 ($146.70/week to $187.60/week), outpacing median household income growth of roughly 21% over the same period — families progressively lost ground on childcare affordability.</w:t>
      </w:r>
    </w:p>
    <w:p w14:paraId="4EF747FF" w14:textId="14D5C56A"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Geographic disparities are large and growing. The highest-cost state (Hawaii: $338/week in 2018) cost nearly five times </w:t>
      </w:r>
      <w:r w:rsidR="000617B1">
        <w:rPr>
          <w:rFonts w:asciiTheme="minorHAnsi" w:hAnsiTheme="minorHAnsi" w:cstheme="minorHAnsi"/>
          <w:sz w:val="22"/>
          <w:szCs w:val="22"/>
        </w:rPr>
        <w:t>as much as the lowest-cost state (Mississippi: $70/week), and the gap widened</w:t>
      </w:r>
      <w:r w:rsidRPr="000617B1">
        <w:rPr>
          <w:rFonts w:asciiTheme="minorHAnsi" w:hAnsiTheme="minorHAnsi" w:cstheme="minorHAnsi"/>
          <w:sz w:val="22"/>
          <w:szCs w:val="22"/>
        </w:rPr>
        <w:t xml:space="preserve"> sharply after 2013.</w:t>
      </w:r>
    </w:p>
    <w:p w14:paraId="7F91DDCC"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Center-based care consistently costs more than family/home-based care across all age groups. The CB–FCC infant care gap grew from $32/week in 2008 to $48/week in 2018, though both types follow the same upward trajectory, indicating systemic rather than provider-specific cost drivers.</w:t>
      </w:r>
    </w:p>
    <w:p w14:paraId="19F6C4FC" w14:textId="4636165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Toddler care saw the steepest percentage increase among all age groups at +29.4%, slightly outpacing infant (+27.9%) and preschool (+28.0%) center-based care, signaling the 24–</w:t>
      </w:r>
      <w:r w:rsidR="000617B1" w:rsidRPr="000617B1">
        <w:rPr>
          <w:rFonts w:asciiTheme="minorHAnsi" w:hAnsiTheme="minorHAnsi" w:cstheme="minorHAnsi"/>
          <w:sz w:val="22"/>
          <w:szCs w:val="22"/>
        </w:rPr>
        <w:t>35</w:t>
      </w:r>
      <w:r w:rsidR="000617B1">
        <w:rPr>
          <w:rFonts w:asciiTheme="minorHAnsi" w:hAnsiTheme="minorHAnsi" w:cstheme="minorHAnsi"/>
          <w:sz w:val="22"/>
          <w:szCs w:val="22"/>
        </w:rPr>
        <w:t xml:space="preserve"> </w:t>
      </w:r>
      <w:r w:rsidR="000617B1" w:rsidRPr="000617B1">
        <w:rPr>
          <w:rFonts w:asciiTheme="minorHAnsi" w:hAnsiTheme="minorHAnsi" w:cstheme="minorHAnsi"/>
          <w:sz w:val="22"/>
          <w:szCs w:val="22"/>
        </w:rPr>
        <w:t>month</w:t>
      </w:r>
      <w:r w:rsidRPr="000617B1">
        <w:rPr>
          <w:rFonts w:asciiTheme="minorHAnsi" w:hAnsiTheme="minorHAnsi" w:cstheme="minorHAnsi"/>
          <w:sz w:val="22"/>
          <w:szCs w:val="22"/>
        </w:rPr>
        <w:t xml:space="preserve"> segment as a growing policy pressure point.</w:t>
      </w:r>
    </w:p>
    <w:p w14:paraId="4B4C6B24" w14:textId="6A01EF7F"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Childcare costs consumed between 12% and 28% of median household income in 2018</w:t>
      </w:r>
      <w:r w:rsidR="000617B1">
        <w:rPr>
          <w:rFonts w:asciiTheme="minorHAnsi" w:hAnsiTheme="minorHAnsi" w:cstheme="minorHAnsi"/>
          <w:sz w:val="22"/>
          <w:szCs w:val="22"/>
        </w:rPr>
        <w:t>,</w:t>
      </w:r>
      <w:r w:rsidRPr="000617B1">
        <w:rPr>
          <w:rFonts w:asciiTheme="minorHAnsi" w:hAnsiTheme="minorHAnsi" w:cstheme="minorHAnsi"/>
          <w:sz w:val="22"/>
          <w:szCs w:val="22"/>
        </w:rPr>
        <w:t xml:space="preserve"> depending on state, far exceeding the HHS affordability benchmark of 7% of family income in every state studied.</w:t>
      </w:r>
    </w:p>
    <w:p w14:paraId="4DB711A1"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Assumptions</w:t>
      </w:r>
    </w:p>
    <w:p w14:paraId="032C2742"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The NDCP reflects accurate and reasonably representative pricing trends, even though some county-level data may not capture informal or unregulated providers.</w:t>
      </w:r>
    </w:p>
    <w:p w14:paraId="4FEAB351" w14:textId="0E490C7F"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Cost reporting is consistent across regions and years; structural breaks in methodology across the 2008–2018 window </w:t>
      </w:r>
      <w:r w:rsidR="000617B1">
        <w:rPr>
          <w:rFonts w:asciiTheme="minorHAnsi" w:hAnsiTheme="minorHAnsi" w:cstheme="minorHAnsi"/>
          <w:sz w:val="22"/>
          <w:szCs w:val="22"/>
        </w:rPr>
        <w:t>are</w:t>
      </w:r>
      <w:r w:rsidRPr="000617B1">
        <w:rPr>
          <w:rFonts w:asciiTheme="minorHAnsi" w:hAnsiTheme="minorHAnsi" w:cstheme="minorHAnsi"/>
          <w:sz w:val="22"/>
          <w:szCs w:val="22"/>
        </w:rPr>
        <w:t xml:space="preserve"> assumed not to exist.</w:t>
      </w:r>
    </w:p>
    <w:p w14:paraId="79EE07EF"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External factors such as subsidies, tax credits, and employer-sponsored childcare are not captured in the dataset, meaning reported costs represent gross prices rather than net out-of-pocket expenses.</w:t>
      </w:r>
    </w:p>
    <w:p w14:paraId="3BB3670B" w14:textId="2E1B8A5A"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County-level data </w:t>
      </w:r>
      <w:r w:rsidR="000617B1">
        <w:rPr>
          <w:rFonts w:asciiTheme="minorHAnsi" w:hAnsiTheme="minorHAnsi" w:cstheme="minorHAnsi"/>
          <w:sz w:val="22"/>
          <w:szCs w:val="22"/>
        </w:rPr>
        <w:t>were</w:t>
      </w:r>
      <w:r w:rsidRPr="000617B1">
        <w:rPr>
          <w:rFonts w:asciiTheme="minorHAnsi" w:hAnsiTheme="minorHAnsi" w:cstheme="minorHAnsi"/>
          <w:sz w:val="22"/>
          <w:szCs w:val="22"/>
        </w:rPr>
        <w:t xml:space="preserve"> aggregated to the state level using simple means; urban/rural composition differences within states are not controlled for.</w:t>
      </w:r>
    </w:p>
    <w:p w14:paraId="6C84D75A" w14:textId="77777777" w:rsidR="002C6049" w:rsidRPr="000617B1" w:rsidRDefault="002C6049">
      <w:pPr>
        <w:spacing w:after="160"/>
        <w:rPr>
          <w:rFonts w:asciiTheme="minorHAnsi" w:hAnsiTheme="minorHAnsi" w:cstheme="minorHAnsi"/>
          <w:sz w:val="22"/>
          <w:szCs w:val="22"/>
        </w:rPr>
      </w:pPr>
    </w:p>
    <w:p w14:paraId="3F46870A"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Items That Still Need Clarification</w:t>
      </w:r>
    </w:p>
    <w:p w14:paraId="0FB7617A"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How frequently is the NDCP updated, and will post-2018 data become available to extend the analysis through COVID-era disruptions?</w:t>
      </w:r>
    </w:p>
    <w:p w14:paraId="09234CCE"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Does the dataset account for quality differences in childcare services, accreditation status, or staff-to-child ratios?</w:t>
      </w:r>
    </w:p>
    <w:p w14:paraId="2A463941"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Are seasonal pricing fluctuations or part-time vs. full-time cost distinctions reflected in the weekly figures?</w:t>
      </w:r>
    </w:p>
    <w:p w14:paraId="58F85DB9" w14:textId="514D437F"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How do subsidy receipt rates by state affect the real affordability burden experienced by families?</w:t>
      </w:r>
    </w:p>
    <w:p w14:paraId="4B3060C4"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2. Direction of Story / Plan of Attack / Message</w:t>
      </w:r>
    </w:p>
    <w:p w14:paraId="1F09BD69" w14:textId="7460E91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central message of this project is that childcare affordability in America is not a personal finance problem — it is a structural policy failure. Costs have risen systemically faster than wages for over a decade, the burden falls unevenly by geography and family type, and every state exceeds the federal affordability threshold. The story </w:t>
      </w:r>
      <w:r w:rsidR="000617B1">
        <w:rPr>
          <w:rFonts w:asciiTheme="minorHAnsi" w:hAnsiTheme="minorHAnsi" w:cstheme="minorHAnsi"/>
          <w:sz w:val="22"/>
          <w:szCs w:val="22"/>
        </w:rPr>
        <w:t xml:space="preserve">builds from a national trend (costs rising faster than incomes) to a geographic comparison (stark state-level disparities) to the human impact (which families bear the greatest burden) and closes with a call to action (policy-level interventions needed at the </w:t>
      </w:r>
      <w:r w:rsidRPr="000617B1">
        <w:rPr>
          <w:rFonts w:asciiTheme="minorHAnsi" w:hAnsiTheme="minorHAnsi" w:cstheme="minorHAnsi"/>
          <w:sz w:val="22"/>
          <w:szCs w:val="22"/>
        </w:rPr>
        <w:t>federal and state levels). This inverted-pyramid narrative structure ensures that even a reader who engages only briefly walks away with the most critical insight.</w:t>
      </w:r>
    </w:p>
    <w:p w14:paraId="53B4249C"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3. Target Audience</w:t>
      </w:r>
    </w:p>
    <w:p w14:paraId="40ED48BE" w14:textId="4928F5E6"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Three distinct audiences were </w:t>
      </w:r>
      <w:r w:rsidR="000617B1" w:rsidRPr="000617B1">
        <w:rPr>
          <w:rFonts w:asciiTheme="minorHAnsi" w:hAnsiTheme="minorHAnsi" w:cstheme="minorHAnsi"/>
          <w:sz w:val="22"/>
          <w:szCs w:val="22"/>
        </w:rPr>
        <w:t>identified,</w:t>
      </w:r>
      <w:r w:rsidRPr="000617B1">
        <w:rPr>
          <w:rFonts w:asciiTheme="minorHAnsi" w:hAnsiTheme="minorHAnsi" w:cstheme="minorHAnsi"/>
          <w:sz w:val="22"/>
          <w:szCs w:val="22"/>
        </w:rPr>
        <w:t xml:space="preserve"> and each was served by a dedicated medium:</w:t>
      </w:r>
    </w:p>
    <w:p w14:paraId="6A0C7338" w14:textId="20BB034D"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State policymakers and executive decision-makers (non-</w:t>
      </w:r>
      <w:r w:rsidR="000617B1" w:rsidRPr="000617B1">
        <w:rPr>
          <w:rFonts w:asciiTheme="minorHAnsi" w:hAnsiTheme="minorHAnsi" w:cstheme="minorHAnsi"/>
          <w:sz w:val="22"/>
          <w:szCs w:val="22"/>
        </w:rPr>
        <w:t>technical)</w:t>
      </w:r>
      <w:r w:rsidRPr="000617B1">
        <w:rPr>
          <w:rFonts w:asciiTheme="minorHAnsi" w:hAnsiTheme="minorHAnsi" w:cstheme="minorHAnsi"/>
          <w:sz w:val="22"/>
          <w:szCs w:val="22"/>
        </w:rPr>
        <w:t xml:space="preserve"> </w:t>
      </w:r>
      <w:r w:rsidR="000617B1">
        <w:rPr>
          <w:rFonts w:asciiTheme="minorHAnsi" w:hAnsiTheme="minorHAnsi" w:cstheme="minorHAnsi"/>
          <w:sz w:val="22"/>
          <w:szCs w:val="22"/>
        </w:rPr>
        <w:t xml:space="preserve">were </w:t>
      </w:r>
      <w:r w:rsidRPr="000617B1">
        <w:rPr>
          <w:rFonts w:asciiTheme="minorHAnsi" w:hAnsiTheme="minorHAnsi" w:cstheme="minorHAnsi"/>
          <w:sz w:val="22"/>
          <w:szCs w:val="22"/>
        </w:rPr>
        <w:t>addressed through the PowerPoint presentation, which emphasizes high-level charts and actionable takeaways in a slide format optimized for briefings.</w:t>
      </w:r>
    </w:p>
    <w:p w14:paraId="7AAD0F25" w14:textId="22C69228"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Policy analysts, researchers, and government agency staff (moderate data </w:t>
      </w:r>
      <w:r w:rsidR="000617B1" w:rsidRPr="000617B1">
        <w:rPr>
          <w:rFonts w:asciiTheme="minorHAnsi" w:hAnsiTheme="minorHAnsi" w:cstheme="minorHAnsi"/>
          <w:sz w:val="22"/>
          <w:szCs w:val="22"/>
        </w:rPr>
        <w:t>literacy)</w:t>
      </w:r>
      <w:r w:rsidRPr="000617B1">
        <w:rPr>
          <w:rFonts w:asciiTheme="minorHAnsi" w:hAnsiTheme="minorHAnsi" w:cstheme="minorHAnsi"/>
          <w:sz w:val="22"/>
          <w:szCs w:val="22"/>
        </w:rPr>
        <w:t xml:space="preserve"> </w:t>
      </w:r>
      <w:r w:rsidR="000617B1">
        <w:rPr>
          <w:rFonts w:asciiTheme="minorHAnsi" w:hAnsiTheme="minorHAnsi" w:cstheme="minorHAnsi"/>
          <w:sz w:val="22"/>
          <w:szCs w:val="22"/>
        </w:rPr>
        <w:t xml:space="preserve">are </w:t>
      </w:r>
      <w:r w:rsidRPr="000617B1">
        <w:rPr>
          <w:rFonts w:asciiTheme="minorHAnsi" w:hAnsiTheme="minorHAnsi" w:cstheme="minorHAnsi"/>
          <w:sz w:val="22"/>
          <w:szCs w:val="22"/>
        </w:rPr>
        <w:t>addressed through the interactive Python dashboard, which provides drill-down visualizations and analytical depth.</w:t>
      </w:r>
    </w:p>
    <w:p w14:paraId="7827554E" w14:textId="09FC6477"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General public and working parents (non-technical) — addressed through the executive write-up and infographic narrative, which uses plain language, bold statistics, and relatable comparisons (e.g., “more than a semester of college tuition”).</w:t>
      </w:r>
    </w:p>
    <w:p w14:paraId="1800985C"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4. Mediums Included &amp; Why</w:t>
      </w:r>
    </w:p>
    <w:p w14:paraId="14BD1805" w14:textId="32A6E0D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Three distinct mediums were developed to ensure each audience received appropriately tailored communication without </w:t>
      </w:r>
      <w:r w:rsidR="000617B1" w:rsidRPr="000617B1">
        <w:rPr>
          <w:rFonts w:asciiTheme="minorHAnsi" w:hAnsiTheme="minorHAnsi" w:cstheme="minorHAnsi"/>
          <w:sz w:val="22"/>
          <w:szCs w:val="22"/>
        </w:rPr>
        <w:t>overlapping</w:t>
      </w:r>
      <w:r w:rsidRPr="000617B1">
        <w:rPr>
          <w:rFonts w:asciiTheme="minorHAnsi" w:hAnsiTheme="minorHAnsi" w:cstheme="minorHAnsi"/>
          <w:sz w:val="22"/>
          <w:szCs w:val="22"/>
        </w:rPr>
        <w:t xml:space="preserve"> in visualizations:</w:t>
      </w:r>
    </w:p>
    <w:p w14:paraId="354F3988"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1: PowerPoint Presentation</w:t>
      </w:r>
    </w:p>
    <w:p w14:paraId="402B80FD" w14:textId="470BF650"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Chosen because state policymakers consume information in slide-deck format, in briefings and presentations. The PPT uses a teal-and-dark palette signaling authority, large callout statistics on slide 1, native slide charts (line chart for cost trends; bar chart for state-level disparities), and PPT-exclusive analytical visuals: an affordability burden comparison by state group, a cost growth index across all six care type × age combinations, a CB–FCC cost gap chart, and a state affordability ranking by percentage </w:t>
      </w:r>
      <w:r w:rsidRPr="000617B1">
        <w:rPr>
          <w:rFonts w:asciiTheme="minorHAnsi" w:hAnsiTheme="minorHAnsi" w:cstheme="minorHAnsi"/>
          <w:sz w:val="22"/>
          <w:szCs w:val="22"/>
        </w:rPr>
        <w:lastRenderedPageBreak/>
        <w:t>of income. Minimal text per slide ensures the deck works as both a presenter tool and a standalone leave-behind.</w:t>
      </w:r>
    </w:p>
    <w:p w14:paraId="60003297"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2: Interactive Dashboard (Python / Jupyter)</w:t>
      </w:r>
    </w:p>
    <w:p w14:paraId="0F51C5AA" w14:textId="30F537F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Chosen because analysts and researchers need to explore data at their own pace, filter by state or year, and draw their own conclusions. The four dashboard visualizations (heatmap of state × year costs; scatter plot of cost vs. income; stacked bar chart of care type composition; box plot of cost distribution) were specifically chosen to reveal dimensions — geographic × temporal interaction, income-affordability relationship, care-type composition, and distributional variance — that are impossible to read from summary tables or a PPT slide.</w:t>
      </w:r>
    </w:p>
    <w:p w14:paraId="4F18CFEB"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3: Executive Write-Up &amp; Infographic Narrative</w:t>
      </w:r>
    </w:p>
    <w:p w14:paraId="7BD44C79" w14:textId="4A712E4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Chosen because working parents and non-technical readers are unlikely to engage with a data dashboard or sit through a policy briefing. The written narrative follows journalistic structure (most alarming fact first), uses bold “BIG NUMBER” callouts as visual anchors, and includes comparison tables rather than complex charts. The goal is that a 30-second scanner walks away knowing that childcare can cost as much as college tuition, and a full reader understands the policy context and what can be done.</w:t>
      </w:r>
    </w:p>
    <w:p w14:paraId="1A86BF10"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5. Design Decisions</w:t>
      </w:r>
    </w:p>
    <w:p w14:paraId="3E5C7B17" w14:textId="08D8284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All three mediums share a teal-to-dark-blue color </w:t>
      </w:r>
      <w:r w:rsidR="000617B1" w:rsidRPr="000617B1">
        <w:rPr>
          <w:rFonts w:asciiTheme="minorHAnsi" w:hAnsiTheme="minorHAnsi" w:cstheme="minorHAnsi"/>
          <w:sz w:val="22"/>
          <w:szCs w:val="22"/>
        </w:rPr>
        <w:t>palette</w:t>
      </w:r>
      <w:r w:rsidRPr="000617B1">
        <w:rPr>
          <w:rFonts w:asciiTheme="minorHAnsi" w:hAnsiTheme="minorHAnsi" w:cstheme="minorHAnsi"/>
          <w:sz w:val="22"/>
          <w:szCs w:val="22"/>
        </w:rPr>
        <w:t xml:space="preserve"> to project trustworthiness and data authority, consistent with policy-facing communications. The accent </w:t>
      </w:r>
      <w:r w:rsidR="000617B1" w:rsidRPr="000617B1">
        <w:rPr>
          <w:rFonts w:asciiTheme="minorHAnsi" w:hAnsiTheme="minorHAnsi" w:cstheme="minorHAnsi"/>
          <w:sz w:val="22"/>
          <w:szCs w:val="22"/>
        </w:rPr>
        <w:t xml:space="preserve">color </w:t>
      </w:r>
      <w:r w:rsidRPr="000617B1">
        <w:rPr>
          <w:rFonts w:asciiTheme="minorHAnsi" w:hAnsiTheme="minorHAnsi" w:cstheme="minorHAnsi"/>
          <w:sz w:val="22"/>
          <w:szCs w:val="22"/>
        </w:rPr>
        <w:t>is reserved exclusively for high-cost states and alarming statistics, drawing the eye to the most critical data points without overusing emphasis.</w:t>
      </w:r>
    </w:p>
    <w:p w14:paraId="7CEAF69F" w14:textId="77777777"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Chart backgrounds are white throughout to maximize contrast and readability on screen and in print. Muted gray grid lines (alpha = 0.3) provide spatial reference without competing with the data. Title font sizes (14pt bold), axis labels (11pt), and tick labels (9pt) follow a clear typographic hierarchy that guides the eye without crowding.</w:t>
      </w:r>
    </w:p>
    <w:p w14:paraId="034E75E1" w14:textId="730996C2"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Layout choices were deliberately differentiated across mediums to avoid visual duplication: the PPT uses slide-native visuals best suited for briefing rooms; the dashboard uses seaborn/matplotlib charts optimized for notebook width; and the write-up uses tables and bold statistics rather than charts, recognizing that non-technical audiences scan before reading. Consistent use of </w:t>
      </w:r>
      <w:r w:rsidR="000617B1" w:rsidRPr="000617B1">
        <w:rPr>
          <w:rFonts w:asciiTheme="minorHAnsi" w:hAnsiTheme="minorHAnsi" w:cstheme="minorHAnsi"/>
          <w:sz w:val="22"/>
          <w:szCs w:val="22"/>
        </w:rPr>
        <w:t>tight layout</w:t>
      </w:r>
      <w:r w:rsidRPr="000617B1">
        <w:rPr>
          <w:rFonts w:asciiTheme="minorHAnsi" w:hAnsiTheme="minorHAnsi" w:cstheme="minorHAnsi"/>
          <w:sz w:val="22"/>
          <w:szCs w:val="22"/>
        </w:rPr>
        <w:t xml:space="preserve"> and a shared DPI of 150 ensures crisp rendering across contexts.</w:t>
      </w:r>
    </w:p>
    <w:p w14:paraId="306F98E7" w14:textId="51E9946D" w:rsidR="002C6049" w:rsidRPr="000617B1" w:rsidRDefault="00000000" w:rsidP="000617B1">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6. Ethical Considerations</w:t>
      </w:r>
    </w:p>
    <w:p w14:paraId="4449B035"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What Changes Were Made to the Data?</w:t>
      </w:r>
    </w:p>
    <w:p w14:paraId="5BD64189" w14:textId="08EFEE7F"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raw NDCP dataset was aggregated from county-level records to state-year averages using simple arithmetic means. Weekly costs were converted to annual costs by multiplying by 52. A percentage-of-income metric was derived by dividing </w:t>
      </w:r>
      <w:r w:rsidR="000617B1">
        <w:rPr>
          <w:rFonts w:asciiTheme="minorHAnsi" w:hAnsiTheme="minorHAnsi" w:cstheme="minorHAnsi"/>
          <w:sz w:val="22"/>
          <w:szCs w:val="22"/>
        </w:rPr>
        <w:t xml:space="preserve">the annualized CB infant care cost by the </w:t>
      </w:r>
      <w:r w:rsidRPr="000617B1">
        <w:rPr>
          <w:rFonts w:asciiTheme="minorHAnsi" w:hAnsiTheme="minorHAnsi" w:cstheme="minorHAnsi"/>
          <w:sz w:val="22"/>
          <w:szCs w:val="22"/>
        </w:rPr>
        <w:t>median household income. These transformations are standard and clearly labeled in all visualizations and the summary table.</w:t>
      </w:r>
    </w:p>
    <w:p w14:paraId="6BA9FF3C" w14:textId="77777777" w:rsidR="000617B1" w:rsidRDefault="000617B1">
      <w:pPr>
        <w:rPr>
          <w:rFonts w:asciiTheme="minorHAnsi" w:hAnsiTheme="minorHAnsi" w:cstheme="minorHAnsi"/>
          <w:b/>
          <w:bCs/>
          <w:sz w:val="22"/>
          <w:szCs w:val="22"/>
        </w:rPr>
      </w:pPr>
      <w:r>
        <w:rPr>
          <w:rFonts w:asciiTheme="minorHAnsi" w:hAnsiTheme="minorHAnsi" w:cstheme="minorHAnsi"/>
          <w:sz w:val="22"/>
          <w:szCs w:val="22"/>
        </w:rPr>
        <w:br w:type="page"/>
      </w:r>
    </w:p>
    <w:p w14:paraId="459D1B9B" w14:textId="0C426F06"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Legal or Regulatory Guidelines</w:t>
      </w:r>
    </w:p>
    <w:p w14:paraId="1CE7B50C" w14:textId="779D29E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NDCP is a publicly released federal dataset published by the U.S. Department of Labor Women’s Bureau and compiled by ICF (October 2020). It is in the public domain and freely available for research and educational purposes. No personally identifiable information is included; all data is county-level aggregate. No special data use agreements or IRB considerations apply.</w:t>
      </w:r>
    </w:p>
    <w:p w14:paraId="0019531F"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Risks from Transformations or Visualization Presentation</w:t>
      </w:r>
    </w:p>
    <w:p w14:paraId="374D6039" w14:textId="637C207D"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Aggregating county data to </w:t>
      </w:r>
      <w:r w:rsidR="000617B1">
        <w:rPr>
          <w:rFonts w:asciiTheme="minorHAnsi" w:hAnsiTheme="minorHAnsi" w:cstheme="minorHAnsi"/>
          <w:sz w:val="22"/>
          <w:szCs w:val="22"/>
        </w:rPr>
        <w:t xml:space="preserve">the </w:t>
      </w:r>
      <w:r w:rsidRPr="000617B1">
        <w:rPr>
          <w:rFonts w:asciiTheme="minorHAnsi" w:hAnsiTheme="minorHAnsi" w:cstheme="minorHAnsi"/>
          <w:sz w:val="22"/>
          <w:szCs w:val="22"/>
        </w:rPr>
        <w:t xml:space="preserve">state </w:t>
      </w:r>
      <w:r w:rsidR="000541BD">
        <w:rPr>
          <w:rFonts w:asciiTheme="minorHAnsi" w:hAnsiTheme="minorHAnsi" w:cstheme="minorHAnsi"/>
          <w:sz w:val="22"/>
          <w:szCs w:val="22"/>
        </w:rPr>
        <w:t xml:space="preserve">level can obscure significant within-state variation — urban counties in a low-cost state may rival the costs of urban counties </w:t>
      </w:r>
      <w:r w:rsidRPr="000617B1">
        <w:rPr>
          <w:rFonts w:asciiTheme="minorHAnsi" w:hAnsiTheme="minorHAnsi" w:cstheme="minorHAnsi"/>
          <w:sz w:val="22"/>
          <w:szCs w:val="22"/>
        </w:rPr>
        <w:t xml:space="preserve">in high-cost states. Presenting state averages without this caveat risks misleading audiences about local conditions. Additionally, the absence of subsidy and tax credit data means </w:t>
      </w:r>
      <w:r w:rsidR="000617B1">
        <w:rPr>
          <w:rFonts w:asciiTheme="minorHAnsi" w:hAnsiTheme="minorHAnsi" w:cstheme="minorHAnsi"/>
          <w:sz w:val="22"/>
          <w:szCs w:val="22"/>
        </w:rPr>
        <w:t>that all cost figures reflect gross prices, potentially overestimating the actual</w:t>
      </w:r>
      <w:r w:rsidRPr="000617B1">
        <w:rPr>
          <w:rFonts w:asciiTheme="minorHAnsi" w:hAnsiTheme="minorHAnsi" w:cstheme="minorHAnsi"/>
          <w:sz w:val="22"/>
          <w:szCs w:val="22"/>
        </w:rPr>
        <w:t xml:space="preserve"> burden on families who receive assistance. The state affordability ranking chart was designed to address this by framing costs as a percentage of median income rather than absolute dollars.</w:t>
      </w:r>
    </w:p>
    <w:p w14:paraId="2E712EE5"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Assumptions in Cleaning / Transforming / Filtering</w:t>
      </w:r>
    </w:p>
    <w:p w14:paraId="4F553065" w14:textId="04AFCF7C"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Rows with missing values in key cost or income columns were dropped</w:t>
      </w:r>
      <w:r w:rsidR="000617B1">
        <w:rPr>
          <w:rFonts w:asciiTheme="minorHAnsi" w:hAnsiTheme="minorHAnsi" w:cstheme="minorHAnsi"/>
          <w:sz w:val="22"/>
          <w:szCs w:val="22"/>
        </w:rPr>
        <w:t xml:space="preserve">. </w:t>
      </w:r>
      <w:r w:rsidRPr="000617B1">
        <w:rPr>
          <w:rFonts w:asciiTheme="minorHAnsi" w:hAnsiTheme="minorHAnsi" w:cstheme="minorHAnsi"/>
          <w:sz w:val="22"/>
          <w:szCs w:val="22"/>
        </w:rPr>
        <w:t>This approach removes counties with incomplete data rather than imputing values, which could introduce bias in low-data states. This filtering is documented in the dashboard notebook but is not explicitly labeled in the presentation or write-up visualizations. Future versions should add a footnote disclosing the number of counties excluded. No data was filtered based on outlier thresholds; all valid observations are included.</w:t>
      </w:r>
    </w:p>
    <w:p w14:paraId="122E67BD"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How Was Data Sourced / Verified for Credibility?</w:t>
      </w:r>
    </w:p>
    <w:p w14:paraId="7245B2A6" w14:textId="49CE69A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NDCP was sourced directly from the U.S. Department of Labor Women’s Bureau website and cross-referenced against published summary statistics from the DOL and Child Care Aware of America State Fact Sheets. The dataset’s methodology — 50th-percentile weekly prices standardized to full-time rates, collected via state licensing agencies and market surveys — is documented in the NDCP technical report. The credibility of the source (a federal agency) and the public verification of its methodology provide strong assurance of data quality.</w:t>
      </w:r>
    </w:p>
    <w:p w14:paraId="76E38D47"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Was Data Acquired Ethically?</w:t>
      </w:r>
    </w:p>
    <w:p w14:paraId="7CE994F8" w14:textId="2A278963"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Yes. The NDCP is a federally published, publicly available dataset collected through administrative records and market surveys by licensed researchers under a federal contract. No proprietary data, scraped content, or confidential records were used. All data </w:t>
      </w:r>
      <w:r w:rsidR="000617B1">
        <w:rPr>
          <w:rFonts w:asciiTheme="minorHAnsi" w:hAnsiTheme="minorHAnsi" w:cstheme="minorHAnsi"/>
          <w:sz w:val="22"/>
          <w:szCs w:val="22"/>
        </w:rPr>
        <w:t>represent</w:t>
      </w:r>
      <w:r w:rsidRPr="000617B1">
        <w:rPr>
          <w:rFonts w:asciiTheme="minorHAnsi" w:hAnsiTheme="minorHAnsi" w:cstheme="minorHAnsi"/>
          <w:sz w:val="22"/>
          <w:szCs w:val="22"/>
        </w:rPr>
        <w:t xml:space="preserve"> aggregate market-level price observations, not individual family records.</w:t>
      </w:r>
    </w:p>
    <w:p w14:paraId="2804F784"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Mitigating Ethical Implications</w:t>
      </w:r>
    </w:p>
    <w:p w14:paraId="283062D7" w14:textId="67B776A6"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To mitigate the risk of misleading audiences through aggregation, future iterations should include within-state range statistics alongside state means and add a clear disclosure footnote on all visuals</w:t>
      </w:r>
      <w:r w:rsidR="000617B1">
        <w:rPr>
          <w:rFonts w:asciiTheme="minorHAnsi" w:hAnsiTheme="minorHAnsi" w:cstheme="minorHAnsi"/>
          <w:sz w:val="22"/>
          <w:szCs w:val="22"/>
        </w:rPr>
        <w:t>,</w:t>
      </w:r>
      <w:r w:rsidRPr="000617B1">
        <w:rPr>
          <w:rFonts w:asciiTheme="minorHAnsi" w:hAnsiTheme="minorHAnsi" w:cstheme="minorHAnsi"/>
          <w:sz w:val="22"/>
          <w:szCs w:val="22"/>
        </w:rPr>
        <w:t xml:space="preserve"> noting that figures represent gross median costs before subsidies. Presentations to policymakers should be accompanied by a written caveat page explaining data limitations. The executive write-up </w:t>
      </w:r>
      <w:r w:rsidR="000617B1">
        <w:rPr>
          <w:rFonts w:asciiTheme="minorHAnsi" w:hAnsiTheme="minorHAnsi" w:cstheme="minorHAnsi"/>
          <w:sz w:val="22"/>
          <w:szCs w:val="22"/>
        </w:rPr>
        <w:t>partially addresses this by noting in its geographic comparison section that “affordability isn’t just about the sticker price.”</w:t>
      </w:r>
    </w:p>
    <w:p w14:paraId="7F85F9D0" w14:textId="77777777" w:rsidR="000617B1" w:rsidRDefault="000617B1">
      <w:pPr>
        <w:rPr>
          <w:rFonts w:asciiTheme="minorHAnsi" w:hAnsiTheme="minorHAnsi" w:cstheme="minorHAnsi"/>
          <w:b/>
          <w:bCs/>
          <w:sz w:val="22"/>
          <w:szCs w:val="22"/>
        </w:rPr>
      </w:pPr>
      <w:r>
        <w:rPr>
          <w:rFonts w:asciiTheme="minorHAnsi" w:hAnsiTheme="minorHAnsi" w:cstheme="minorHAnsi"/>
          <w:sz w:val="22"/>
          <w:szCs w:val="22"/>
        </w:rPr>
        <w:br w:type="page"/>
      </w:r>
    </w:p>
    <w:p w14:paraId="0D9B898A" w14:textId="73B19AA1" w:rsidR="002C6049" w:rsidRPr="000617B1" w:rsidRDefault="00000000" w:rsidP="000617B1">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7. Lessons Learned</w:t>
      </w:r>
    </w:p>
    <w:p w14:paraId="22F83599" w14:textId="2C675B28"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 xml:space="preserve">What Would </w:t>
      </w:r>
      <w:r w:rsidR="00C62A8A">
        <w:rPr>
          <w:rFonts w:asciiTheme="minorHAnsi" w:hAnsiTheme="minorHAnsi" w:cstheme="minorHAnsi"/>
          <w:color w:val="auto"/>
          <w:sz w:val="22"/>
          <w:szCs w:val="22"/>
        </w:rPr>
        <w:t>I</w:t>
      </w:r>
      <w:r w:rsidRPr="000617B1">
        <w:rPr>
          <w:rFonts w:asciiTheme="minorHAnsi" w:hAnsiTheme="minorHAnsi" w:cstheme="minorHAnsi"/>
          <w:color w:val="auto"/>
          <w:sz w:val="22"/>
          <w:szCs w:val="22"/>
        </w:rPr>
        <w:t xml:space="preserve"> Do Differently Next Time?</w:t>
      </w:r>
    </w:p>
    <w:p w14:paraId="272CE67B" w14:textId="3A0300D1"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Plan visual differentiation across mediums from the start (Milestone 1) rather than retrofitting after feedback. The duplication issue between Medium 1 and Medium 2 could have been avoided with an explicit visualization inventory </w:t>
      </w:r>
      <w:r w:rsidR="000617B1">
        <w:rPr>
          <w:rFonts w:asciiTheme="minorHAnsi" w:hAnsiTheme="minorHAnsi" w:cstheme="minorHAnsi"/>
          <w:sz w:val="22"/>
          <w:szCs w:val="22"/>
        </w:rPr>
        <w:t>during planning</w:t>
      </w:r>
      <w:r w:rsidRPr="000617B1">
        <w:rPr>
          <w:rFonts w:asciiTheme="minorHAnsi" w:hAnsiTheme="minorHAnsi" w:cstheme="minorHAnsi"/>
          <w:sz w:val="22"/>
          <w:szCs w:val="22"/>
        </w:rPr>
        <w:t>.</w:t>
      </w:r>
    </w:p>
    <w:p w14:paraId="0092C37F"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Include county-level choropleth maps to show geographic distribution more intuitively than state bar charts. A U.S. map colored by cost burden percentage would be immediately readable for all three audience types.</w:t>
      </w:r>
    </w:p>
    <w:p w14:paraId="19628534"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Integrate subsidy and net-cost data from the CCDBG and IRS childcare tax credit to present real out-of-pocket costs rather than gross prices, which would strengthen the affordability narrative substantially.</w:t>
      </w:r>
    </w:p>
    <w:p w14:paraId="739CD9DB"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Add interactive filters to the dashboard (Plotly Dash or Panel) rather than static matplotlib outputs, enabling true user-driven exploration by state, year, or care type.</w:t>
      </w:r>
    </w:p>
    <w:p w14:paraId="3E68E88F" w14:textId="59B40CA8"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Conduct a brief user test with one representative from each target audience before finalizing to validate that the design and language choices </w:t>
      </w:r>
      <w:r w:rsidR="000617B1" w:rsidRPr="000617B1">
        <w:rPr>
          <w:rFonts w:asciiTheme="minorHAnsi" w:hAnsiTheme="minorHAnsi" w:cstheme="minorHAnsi"/>
          <w:sz w:val="22"/>
          <w:szCs w:val="22"/>
        </w:rPr>
        <w:t>convey</w:t>
      </w:r>
      <w:r w:rsidRPr="000617B1">
        <w:rPr>
          <w:rFonts w:asciiTheme="minorHAnsi" w:hAnsiTheme="minorHAnsi" w:cstheme="minorHAnsi"/>
          <w:sz w:val="22"/>
          <w:szCs w:val="22"/>
        </w:rPr>
        <w:t xml:space="preserve"> the intended message.</w:t>
      </w:r>
    </w:p>
    <w:p w14:paraId="59AE82F9" w14:textId="69EC0F08"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 xml:space="preserve">What Did </w:t>
      </w:r>
      <w:r w:rsidR="00C62A8A">
        <w:rPr>
          <w:rFonts w:asciiTheme="minorHAnsi" w:hAnsiTheme="minorHAnsi" w:cstheme="minorHAnsi"/>
          <w:color w:val="auto"/>
          <w:sz w:val="22"/>
          <w:szCs w:val="22"/>
        </w:rPr>
        <w:t>I</w:t>
      </w:r>
      <w:r w:rsidRPr="000617B1">
        <w:rPr>
          <w:rFonts w:asciiTheme="minorHAnsi" w:hAnsiTheme="minorHAnsi" w:cstheme="minorHAnsi"/>
          <w:color w:val="auto"/>
          <w:sz w:val="22"/>
          <w:szCs w:val="22"/>
        </w:rPr>
        <w:t xml:space="preserve"> Enjoy the Most?</w:t>
      </w:r>
    </w:p>
    <w:p w14:paraId="3E7047DF" w14:textId="68A56EB0" w:rsidR="002C6049" w:rsidRPr="000617B1" w:rsidRDefault="00000000" w:rsidP="000617B1">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most rewarding aspect of this project was seeing the same dataset tell three meaningfully different stories for three different audiences — a rigorous analytical narrative for researchers, a policy-actionable briefing for executives, and a human-centered story for parents. Designing for audience-specificity rather than a single general presentation forced careful thinking about what each group </w:t>
      </w:r>
      <w:r w:rsidR="000617B1" w:rsidRPr="000617B1">
        <w:rPr>
          <w:rFonts w:asciiTheme="minorHAnsi" w:hAnsiTheme="minorHAnsi" w:cstheme="minorHAnsi"/>
          <w:sz w:val="22"/>
          <w:szCs w:val="22"/>
        </w:rPr>
        <w:t>needs</w:t>
      </w:r>
      <w:r w:rsidRPr="000617B1">
        <w:rPr>
          <w:rFonts w:asciiTheme="minorHAnsi" w:hAnsiTheme="minorHAnsi" w:cstheme="minorHAnsi"/>
          <w:sz w:val="22"/>
          <w:szCs w:val="22"/>
        </w:rPr>
        <w:t xml:space="preserve"> to know and how they prefer to receive it. The affordability burden line chart (Medium 1, Slide 5) was particularly satisfying to develop because it reframed the core finding — costs rising faster than incomes — in a way that was simultaneously precise for analysts and visually intuitive for non-technical readers. This project reinforced the view that data visualization is fundamentally a communication discipline, not a technical one.</w:t>
      </w:r>
    </w:p>
    <w:sectPr w:rsidR="002C6049" w:rsidRPr="000617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1D8A"/>
    <w:multiLevelType w:val="hybridMultilevel"/>
    <w:tmpl w:val="D9E0F25C"/>
    <w:lvl w:ilvl="0" w:tplc="636A5310">
      <w:start w:val="1"/>
      <w:numFmt w:val="bullet"/>
      <w:lvlText w:val="•"/>
      <w:lvlJc w:val="left"/>
      <w:pPr>
        <w:ind w:left="720" w:hanging="360"/>
      </w:pPr>
    </w:lvl>
    <w:lvl w:ilvl="1" w:tplc="1896B0DC">
      <w:numFmt w:val="decimal"/>
      <w:lvlText w:val=""/>
      <w:lvlJc w:val="left"/>
    </w:lvl>
    <w:lvl w:ilvl="2" w:tplc="5F0A811E">
      <w:numFmt w:val="decimal"/>
      <w:lvlText w:val=""/>
      <w:lvlJc w:val="left"/>
    </w:lvl>
    <w:lvl w:ilvl="3" w:tplc="E86AC60A">
      <w:numFmt w:val="decimal"/>
      <w:lvlText w:val=""/>
      <w:lvlJc w:val="left"/>
    </w:lvl>
    <w:lvl w:ilvl="4" w:tplc="27D4630E">
      <w:numFmt w:val="decimal"/>
      <w:lvlText w:val=""/>
      <w:lvlJc w:val="left"/>
    </w:lvl>
    <w:lvl w:ilvl="5" w:tplc="AEC2E7D2">
      <w:numFmt w:val="decimal"/>
      <w:lvlText w:val=""/>
      <w:lvlJc w:val="left"/>
    </w:lvl>
    <w:lvl w:ilvl="6" w:tplc="235496F2">
      <w:numFmt w:val="decimal"/>
      <w:lvlText w:val=""/>
      <w:lvlJc w:val="left"/>
    </w:lvl>
    <w:lvl w:ilvl="7" w:tplc="31F01C9E">
      <w:numFmt w:val="decimal"/>
      <w:lvlText w:val=""/>
      <w:lvlJc w:val="left"/>
    </w:lvl>
    <w:lvl w:ilvl="8" w:tplc="1DCC65C0">
      <w:numFmt w:val="decimal"/>
      <w:lvlText w:val=""/>
      <w:lvlJc w:val="left"/>
    </w:lvl>
  </w:abstractNum>
  <w:abstractNum w:abstractNumId="1" w15:restartNumberingAfterBreak="0">
    <w:nsid w:val="5556087C"/>
    <w:multiLevelType w:val="hybridMultilevel"/>
    <w:tmpl w:val="E6D289AE"/>
    <w:lvl w:ilvl="0" w:tplc="3D30A68C">
      <w:start w:val="1"/>
      <w:numFmt w:val="bullet"/>
      <w:lvlText w:val="●"/>
      <w:lvlJc w:val="left"/>
      <w:pPr>
        <w:ind w:left="720" w:hanging="360"/>
      </w:pPr>
    </w:lvl>
    <w:lvl w:ilvl="1" w:tplc="FD36BE6A">
      <w:start w:val="1"/>
      <w:numFmt w:val="bullet"/>
      <w:lvlText w:val="○"/>
      <w:lvlJc w:val="left"/>
      <w:pPr>
        <w:ind w:left="1440" w:hanging="360"/>
      </w:pPr>
    </w:lvl>
    <w:lvl w:ilvl="2" w:tplc="A3043C00">
      <w:start w:val="1"/>
      <w:numFmt w:val="bullet"/>
      <w:lvlText w:val="■"/>
      <w:lvlJc w:val="left"/>
      <w:pPr>
        <w:ind w:left="2160" w:hanging="360"/>
      </w:pPr>
    </w:lvl>
    <w:lvl w:ilvl="3" w:tplc="14AA09D2">
      <w:start w:val="1"/>
      <w:numFmt w:val="bullet"/>
      <w:lvlText w:val="●"/>
      <w:lvlJc w:val="left"/>
      <w:pPr>
        <w:ind w:left="2880" w:hanging="360"/>
      </w:pPr>
    </w:lvl>
    <w:lvl w:ilvl="4" w:tplc="38BCECA6">
      <w:start w:val="1"/>
      <w:numFmt w:val="bullet"/>
      <w:lvlText w:val="○"/>
      <w:lvlJc w:val="left"/>
      <w:pPr>
        <w:ind w:left="3600" w:hanging="360"/>
      </w:pPr>
    </w:lvl>
    <w:lvl w:ilvl="5" w:tplc="22CE880C">
      <w:start w:val="1"/>
      <w:numFmt w:val="bullet"/>
      <w:lvlText w:val="■"/>
      <w:lvlJc w:val="left"/>
      <w:pPr>
        <w:ind w:left="4320" w:hanging="360"/>
      </w:pPr>
    </w:lvl>
    <w:lvl w:ilvl="6" w:tplc="BD58673E">
      <w:start w:val="1"/>
      <w:numFmt w:val="bullet"/>
      <w:lvlText w:val="●"/>
      <w:lvlJc w:val="left"/>
      <w:pPr>
        <w:ind w:left="5040" w:hanging="360"/>
      </w:pPr>
    </w:lvl>
    <w:lvl w:ilvl="7" w:tplc="32347342">
      <w:start w:val="1"/>
      <w:numFmt w:val="bullet"/>
      <w:lvlText w:val="●"/>
      <w:lvlJc w:val="left"/>
      <w:pPr>
        <w:ind w:left="5760" w:hanging="360"/>
      </w:pPr>
    </w:lvl>
    <w:lvl w:ilvl="8" w:tplc="052CCCAA">
      <w:start w:val="1"/>
      <w:numFmt w:val="bullet"/>
      <w:lvlText w:val="●"/>
      <w:lvlJc w:val="left"/>
      <w:pPr>
        <w:ind w:left="6480" w:hanging="360"/>
      </w:pPr>
    </w:lvl>
  </w:abstractNum>
  <w:num w:numId="1" w16cid:durableId="1334379338">
    <w:abstractNumId w:val="1"/>
    <w:lvlOverride w:ilvl="0">
      <w:startOverride w:val="1"/>
    </w:lvlOverride>
  </w:num>
  <w:num w:numId="2" w16cid:durableId="1306203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49"/>
    <w:rsid w:val="000541BD"/>
    <w:rsid w:val="000617B1"/>
    <w:rsid w:val="001F408A"/>
    <w:rsid w:val="002C6049"/>
    <w:rsid w:val="00337372"/>
    <w:rsid w:val="008773C6"/>
    <w:rsid w:val="00B25323"/>
    <w:rsid w:val="00C62A8A"/>
    <w:rsid w:val="00FE3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ACFF"/>
  <w15:docId w15:val="{A670063D-3947-412A-AF49-FAFECF50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23E5C"/>
      <w:sz w:val="32"/>
      <w:szCs w:val="32"/>
    </w:rPr>
  </w:style>
  <w:style w:type="paragraph" w:styleId="Heading2">
    <w:name w:val="heading 2"/>
    <w:uiPriority w:val="9"/>
    <w:unhideWhenUsed/>
    <w:qFormat/>
    <w:pPr>
      <w:spacing w:before="240" w:after="120"/>
      <w:outlineLvl w:val="1"/>
    </w:pPr>
    <w:rPr>
      <w:b/>
      <w:bCs/>
      <w:color w:val="028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1324</TotalTime>
  <Pages>5</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manojkumar kola</cp:lastModifiedBy>
  <cp:revision>7</cp:revision>
  <dcterms:created xsi:type="dcterms:W3CDTF">2026-05-06T23:50:00Z</dcterms:created>
  <dcterms:modified xsi:type="dcterms:W3CDTF">2026-05-26T22:19:00Z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0fd8535c-70f2-41fa-9e8e-027831f7c0dd</vt:lpwstr>
  </property>
</Properties>
</file>