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BD3A" w14:textId="77777777" w:rsidR="006D56A4" w:rsidRDefault="006D56A4">
      <w:pPr>
        <w:spacing w:before="1600"/>
      </w:pPr>
    </w:p>
    <w:p w14:paraId="5CC8132A" w14:textId="77777777" w:rsidR="006D56A4" w:rsidRDefault="009B5846">
      <w:pPr>
        <w:spacing w:after="240"/>
        <w:jc w:val="center"/>
      </w:pPr>
      <w:r>
        <w:rPr>
          <w:b/>
          <w:bCs/>
          <w:sz w:val="32"/>
          <w:szCs w:val="32"/>
        </w:rPr>
        <w:t>CASE ANALYSIS REPORT</w:t>
      </w:r>
    </w:p>
    <w:p w14:paraId="02941BD6" w14:textId="77777777" w:rsidR="006D56A4" w:rsidRDefault="009B5846">
      <w:pPr>
        <w:spacing w:after="3600"/>
        <w:jc w:val="center"/>
      </w:pPr>
      <w:r>
        <w:rPr>
          <w:b/>
          <w:bCs/>
          <w:i/>
          <w:iCs/>
          <w:sz w:val="28"/>
          <w:szCs w:val="28"/>
        </w:rPr>
        <w:t>Shreya Singhal v Union of India, AIR 2015 SC 1523</w:t>
      </w:r>
    </w:p>
    <w:p w14:paraId="06FC9199" w14:textId="77777777" w:rsidR="006D56A4" w:rsidRDefault="009B5846">
      <w:pPr>
        <w:spacing w:after="220"/>
        <w:jc w:val="center"/>
      </w:pPr>
      <w:r>
        <w:t>Student Name: Manoj Kumar K</w:t>
      </w:r>
    </w:p>
    <w:p w14:paraId="226A5E8C" w14:textId="77777777" w:rsidR="006D56A4" w:rsidRDefault="009B5846">
      <w:pPr>
        <w:spacing w:after="220"/>
        <w:jc w:val="center"/>
      </w:pPr>
      <w:r>
        <w:t>Register Number: 5272510210</w:t>
      </w:r>
    </w:p>
    <w:p w14:paraId="271305EC" w14:textId="77777777" w:rsidR="006D56A4" w:rsidRDefault="009B5846">
      <w:pPr>
        <w:spacing w:after="220"/>
        <w:jc w:val="center"/>
      </w:pPr>
      <w:r>
        <w:t>Activity Title: Case Analysis — Shreya Singhal v Union of India (2015)</w:t>
      </w:r>
    </w:p>
    <w:p w14:paraId="1FD6F1B9" w14:textId="77777777" w:rsidR="006D56A4" w:rsidRDefault="009B5846">
      <w:r>
        <w:br w:type="page"/>
      </w:r>
    </w:p>
    <w:p w14:paraId="14040886" w14:textId="77777777" w:rsidR="006D56A4" w:rsidRDefault="006D56A4">
      <w:pPr>
        <w:sectPr w:rsidR="006D56A4">
          <w:pgSz w:w="12240" w:h="15840"/>
          <w:pgMar w:top="1440" w:right="1440" w:bottom="1440" w:left="1440" w:header="708" w:footer="708" w:gutter="0"/>
          <w:cols w:space="720"/>
          <w:docGrid w:linePitch="360"/>
        </w:sectPr>
      </w:pPr>
    </w:p>
    <w:p w14:paraId="79C7A6A3" w14:textId="77777777" w:rsidR="006D56A4" w:rsidRDefault="009B5846">
      <w:pPr>
        <w:pStyle w:val="Heading1"/>
        <w:spacing w:before="320" w:after="160"/>
      </w:pPr>
      <w:r>
        <w:rPr>
          <w:b/>
          <w:bCs/>
          <w:color w:val="000000"/>
          <w:sz w:val="28"/>
          <w:szCs w:val="28"/>
        </w:rPr>
        <w:lastRenderedPageBreak/>
        <w:t>1. Introduction</w:t>
      </w:r>
    </w:p>
    <w:p w14:paraId="7B50B0A0" w14:textId="77777777" w:rsidR="006D56A4" w:rsidRDefault="009B5846">
      <w:pPr>
        <w:pStyle w:val="Heading2"/>
        <w:spacing w:before="220" w:after="120"/>
      </w:pPr>
      <w:r>
        <w:rPr>
          <w:b/>
          <w:bCs/>
          <w:color w:val="000000"/>
          <w:sz w:val="24"/>
          <w:szCs w:val="24"/>
        </w:rPr>
        <w:t>1.1 Case Citation &amp; Jurisdiction</w:t>
      </w:r>
    </w:p>
    <w:p w14:paraId="6194DC3D" w14:textId="77777777" w:rsidR="006D56A4" w:rsidRDefault="009B5846">
      <w:pPr>
        <w:pStyle w:val="ListParagraph"/>
        <w:numPr>
          <w:ilvl w:val="0"/>
          <w:numId w:val="2"/>
        </w:numPr>
        <w:spacing w:after="100" w:line="290" w:lineRule="auto"/>
        <w:jc w:val="both"/>
      </w:pPr>
      <w:r>
        <w:t>Case Name: Shreya Singhal v Union of India</w:t>
      </w:r>
    </w:p>
    <w:p w14:paraId="26D20294" w14:textId="77777777" w:rsidR="006D56A4" w:rsidRDefault="009B5846">
      <w:pPr>
        <w:pStyle w:val="ListParagraph"/>
        <w:numPr>
          <w:ilvl w:val="0"/>
          <w:numId w:val="2"/>
        </w:numPr>
        <w:spacing w:after="100" w:line="290" w:lineRule="auto"/>
        <w:jc w:val="both"/>
      </w:pPr>
      <w:r>
        <w:t>Citation: AIR 2015 SC 1523; (2015) 5 SCC 1; Writ Petition (Criminal) No. 167 of 2012</w:t>
      </w:r>
    </w:p>
    <w:p w14:paraId="61B9A940" w14:textId="77777777" w:rsidR="006D56A4" w:rsidRDefault="009B5846">
      <w:pPr>
        <w:pStyle w:val="ListParagraph"/>
        <w:numPr>
          <w:ilvl w:val="0"/>
          <w:numId w:val="2"/>
        </w:numPr>
        <w:spacing w:after="100" w:line="290" w:lineRule="auto"/>
        <w:jc w:val="both"/>
      </w:pPr>
      <w:r>
        <w:t>Court: Supreme Court of India</w:t>
      </w:r>
    </w:p>
    <w:p w14:paraId="2A9EF303" w14:textId="77777777" w:rsidR="006D56A4" w:rsidRDefault="009B5846">
      <w:pPr>
        <w:pStyle w:val="ListParagraph"/>
        <w:numPr>
          <w:ilvl w:val="0"/>
          <w:numId w:val="2"/>
        </w:numPr>
        <w:spacing w:after="100" w:line="290" w:lineRule="auto"/>
        <w:jc w:val="both"/>
      </w:pPr>
      <w:r>
        <w:t>Bench: Justice Jasti Chelameswar and Justice Rohinton Fali Nariman</w:t>
      </w:r>
    </w:p>
    <w:p w14:paraId="2EDD901C" w14:textId="77777777" w:rsidR="006D56A4" w:rsidRDefault="009B5846">
      <w:pPr>
        <w:pStyle w:val="ListParagraph"/>
        <w:numPr>
          <w:ilvl w:val="0"/>
          <w:numId w:val="2"/>
        </w:numPr>
        <w:spacing w:after="100" w:line="290" w:lineRule="auto"/>
        <w:jc w:val="both"/>
      </w:pPr>
      <w:r>
        <w:t>Date of Judgment: 24 March 2015</w:t>
      </w:r>
    </w:p>
    <w:p w14:paraId="04EE49BB" w14:textId="77777777" w:rsidR="006D56A4" w:rsidRDefault="009B5846">
      <w:pPr>
        <w:pStyle w:val="ListParagraph"/>
        <w:numPr>
          <w:ilvl w:val="0"/>
          <w:numId w:val="2"/>
        </w:numPr>
        <w:spacing w:after="100" w:line="290" w:lineRule="auto"/>
        <w:jc w:val="both"/>
      </w:pPr>
      <w:r>
        <w:t>Nature of Proceeding: A batch of writ petitions filed under Article 32 of the Constitution of India, invoking the Supreme Court's original jurisdiction to enforce fundamental rights; an earlier interim order in the same proceedings, reported as Singhal v Union of India, (2013) 12 SCC 73, had already restricted arrests under Section 66A to cases approved by senior police officers pending final disposal.</w:t>
      </w:r>
    </w:p>
    <w:p w14:paraId="448F5051" w14:textId="77777777" w:rsidR="006D56A4" w:rsidRDefault="009B5846">
      <w:pPr>
        <w:pStyle w:val="Heading2"/>
        <w:spacing w:before="220" w:after="120"/>
      </w:pPr>
      <w:r>
        <w:rPr>
          <w:b/>
          <w:bCs/>
          <w:color w:val="000000"/>
          <w:sz w:val="24"/>
          <w:szCs w:val="24"/>
        </w:rPr>
        <w:t>1.2 Brief Introduction to the Case</w:t>
      </w:r>
    </w:p>
    <w:p w14:paraId="490914E8" w14:textId="77777777" w:rsidR="006D56A4" w:rsidRDefault="009B5846">
      <w:pPr>
        <w:spacing w:after="160" w:line="300" w:lineRule="auto"/>
        <w:jc w:val="both"/>
      </w:pPr>
      <w:r>
        <w:t xml:space="preserve">Shreya Singhal v Union of India is one of the most significant decisions in Indian constitutional law on freedom of speech and expression in the digital age. The case arose after two young women, Shaheen </w:t>
      </w:r>
      <w:proofErr w:type="spellStart"/>
      <w:r>
        <w:t>Dhada</w:t>
      </w:r>
      <w:proofErr w:type="spellEnd"/>
      <w:r>
        <w:t xml:space="preserve"> and Rinu Srinivasan, were arrested by the Mumbai police under Section 66A of the Information Technology Act, 2000, after one posted a Facebook comment questioning the complete shutdown of Mumbai following the death of Shiv Sena leader Bal Thackeray, and the other merely 'liked' the post. The arrests triggered nationwide public outrage over the vague and sweeping language of Section 66A, which criminalised sending 'grossly offensive' or 'menacing' messages, or messages causing 'annoyance', 'inconvenien</w:t>
      </w:r>
      <w:r>
        <w:t>ce', 'danger', or 'ill will', through a computer resource or communication device.</w:t>
      </w:r>
    </w:p>
    <w:p w14:paraId="7C73EE2E" w14:textId="77777777" w:rsidR="006D56A4" w:rsidRDefault="009B5846">
      <w:pPr>
        <w:spacing w:after="160" w:line="300" w:lineRule="auto"/>
        <w:jc w:val="both"/>
      </w:pPr>
      <w:r>
        <w:t xml:space="preserve">Shreya Singhal, then a law student in Delhi, filed a public interest litigation before the Supreme Court under Article 32, challenging the constitutional validity of Section 66A; several civil liberties organisations and other petitioners subsequently joined the proceedings, which also came to encompass challenges to Section 69A (governing government blocking of online content), Section 79 (governing intermediary liability), and Section 118(d) of the Kerala Police Act, 2011, a state provision criminalising </w:t>
      </w:r>
      <w:r>
        <w:t xml:space="preserve">'annoyance' caused by electronic communication in similar terms. At its heart, the case asks whether a statutory provision that criminalises online speech using broad, undefined terms can survive scrutiny under Article 19(1)(a), which guarantees freedom of speech and expression, when measured against the narrow and specific restrictions permitted under Article 19(2). The Supreme Court's answer — that Section 66A was unconstitutional in its entirety for </w:t>
      </w:r>
      <w:r>
        <w:lastRenderedPageBreak/>
        <w:t xml:space="preserve">vagueness and overbreadth — remains the leading Indian </w:t>
      </w:r>
      <w:r>
        <w:t>authority on free speech in cyberspace, on intermediary liability, and on the doctrine of the chilling effect.</w:t>
      </w:r>
    </w:p>
    <w:p w14:paraId="06855C1E" w14:textId="77777777" w:rsidR="006D56A4" w:rsidRDefault="009B5846">
      <w:pPr>
        <w:pStyle w:val="Heading1"/>
        <w:spacing w:before="320" w:after="160"/>
      </w:pPr>
      <w:r>
        <w:rPr>
          <w:b/>
          <w:bCs/>
          <w:color w:val="000000"/>
          <w:sz w:val="28"/>
          <w:szCs w:val="28"/>
        </w:rPr>
        <w:t>2. Facts of the Case</w:t>
      </w:r>
    </w:p>
    <w:p w14:paraId="452B92AF" w14:textId="77777777" w:rsidR="006D56A4" w:rsidRDefault="009B5846">
      <w:pPr>
        <w:pStyle w:val="Heading2"/>
        <w:spacing w:before="220" w:after="120"/>
      </w:pPr>
      <w:r>
        <w:rPr>
          <w:b/>
          <w:bCs/>
          <w:color w:val="000000"/>
          <w:sz w:val="24"/>
          <w:szCs w:val="24"/>
        </w:rPr>
        <w:t>2.1 Chronological Summary of Events</w:t>
      </w:r>
    </w:p>
    <w:p w14:paraId="33A72EB9" w14:textId="77777777" w:rsidR="006D56A4" w:rsidRDefault="009B5846">
      <w:pPr>
        <w:pStyle w:val="ListParagraph"/>
        <w:numPr>
          <w:ilvl w:val="0"/>
          <w:numId w:val="2"/>
        </w:numPr>
        <w:spacing w:after="100" w:line="290" w:lineRule="auto"/>
        <w:jc w:val="both"/>
      </w:pPr>
      <w:r>
        <w:t>Following the death of Shiv Sena leader Bal Thackeray in November 2012, the city of Mumbai was brought to a complete standstill, with businesses, transport, and public life shut down amid a citywide bandh.</w:t>
      </w:r>
    </w:p>
    <w:p w14:paraId="2FB83F4F" w14:textId="77777777" w:rsidR="006D56A4" w:rsidRDefault="009B5846">
      <w:pPr>
        <w:pStyle w:val="ListParagraph"/>
        <w:numPr>
          <w:ilvl w:val="0"/>
          <w:numId w:val="2"/>
        </w:numPr>
        <w:spacing w:after="100" w:line="290" w:lineRule="auto"/>
        <w:jc w:val="both"/>
      </w:pPr>
      <w:r>
        <w:t xml:space="preserve">Shaheen </w:t>
      </w:r>
      <w:proofErr w:type="spellStart"/>
      <w:r>
        <w:t>Dhada</w:t>
      </w:r>
      <w:proofErr w:type="spellEnd"/>
      <w:r>
        <w:t xml:space="preserve"> posted a comment on Facebook questioning the necessity and propriety of shutting down the entire city in this manner; Rinu Srinivasan 'liked' the post.</w:t>
      </w:r>
    </w:p>
    <w:p w14:paraId="4A6173D8" w14:textId="77777777" w:rsidR="006D56A4" w:rsidRDefault="009B5846">
      <w:pPr>
        <w:pStyle w:val="ListParagraph"/>
        <w:numPr>
          <w:ilvl w:val="0"/>
          <w:numId w:val="2"/>
        </w:numPr>
        <w:spacing w:after="100" w:line="290" w:lineRule="auto"/>
        <w:jc w:val="both"/>
      </w:pPr>
      <w:r>
        <w:t>Acting on a complaint, the Mumbai police arrested both women under Section 66A of the Information Technology Act, 2000, on the basis that they had used a computer resource to send a message that could cause annoyance or inconvenience to the public.</w:t>
      </w:r>
    </w:p>
    <w:p w14:paraId="17A5FD83" w14:textId="77777777" w:rsidR="006D56A4" w:rsidRDefault="009B5846">
      <w:pPr>
        <w:pStyle w:val="ListParagraph"/>
        <w:numPr>
          <w:ilvl w:val="0"/>
          <w:numId w:val="2"/>
        </w:numPr>
        <w:spacing w:after="100" w:line="290" w:lineRule="auto"/>
        <w:jc w:val="both"/>
      </w:pPr>
      <w:r>
        <w:t>The arrests attracted widespread media attention and public criticism; the women were subsequently released and the criminal proceedings against them were dropped, but the incident revealed how readily Section 66A could be used to penalise ordinary political commentary.</w:t>
      </w:r>
    </w:p>
    <w:p w14:paraId="55FB4E79" w14:textId="77777777" w:rsidR="006D56A4" w:rsidRDefault="009B5846">
      <w:pPr>
        <w:pStyle w:val="ListParagraph"/>
        <w:numPr>
          <w:ilvl w:val="0"/>
          <w:numId w:val="2"/>
        </w:numPr>
        <w:spacing w:after="100" w:line="290" w:lineRule="auto"/>
        <w:jc w:val="both"/>
      </w:pPr>
      <w:r>
        <w:t>Shreya Singhal, a law student based in Delhi, filed a writ petition under Article 32 before the Supreme Court of India, challenging the constitutional validity of Section 66A as an unreasonable restriction on the fundamental right to freedom of speech and expression guaranteed under Article 19(1)(a).</w:t>
      </w:r>
    </w:p>
    <w:p w14:paraId="24FE6787" w14:textId="77777777" w:rsidR="006D56A4" w:rsidRDefault="009B5846">
      <w:pPr>
        <w:pStyle w:val="ListParagraph"/>
        <w:numPr>
          <w:ilvl w:val="0"/>
          <w:numId w:val="2"/>
        </w:numPr>
        <w:spacing w:after="100" w:line="290" w:lineRule="auto"/>
        <w:jc w:val="both"/>
      </w:pPr>
      <w:r>
        <w:t>Pending final disposal, the Supreme Court passed an interim order in 2013 restricting arrests under Section 66A to cases specifically approved by senior police officers, in an effort to curb the provision's misuse while the constitutional challenge remained pending.</w:t>
      </w:r>
    </w:p>
    <w:p w14:paraId="4ED66B47" w14:textId="77777777" w:rsidR="006D56A4" w:rsidRDefault="009B5846">
      <w:pPr>
        <w:pStyle w:val="ListParagraph"/>
        <w:numPr>
          <w:ilvl w:val="0"/>
          <w:numId w:val="2"/>
        </w:numPr>
        <w:spacing w:after="100" w:line="290" w:lineRule="auto"/>
        <w:jc w:val="both"/>
      </w:pPr>
      <w:r>
        <w:t>Several other petitioners — including civil liberties organisations and internet-based entities — joined the proceedings, broadening the challenge to include Section 69A (blocking of online content), Section 79 (intermediary liability), the associated Intermediary Guidelines Rules, 2011, and Section 118(d) of the Kerala Police Act, 2011, which similarly penalised causing 'annoyance' by electronic means.</w:t>
      </w:r>
    </w:p>
    <w:p w14:paraId="12DE5657" w14:textId="77777777" w:rsidR="006D56A4" w:rsidRDefault="009B5846">
      <w:pPr>
        <w:pStyle w:val="ListParagraph"/>
        <w:numPr>
          <w:ilvl w:val="0"/>
          <w:numId w:val="2"/>
        </w:numPr>
        <w:spacing w:after="100" w:line="290" w:lineRule="auto"/>
        <w:jc w:val="both"/>
      </w:pPr>
      <w:r>
        <w:t>The Supreme Court heard the consolidated petitions and, on 24 March 2015, delivered its judgment, declaring Section 66A unconstitutional in its entirety, upholding Section 69A, reading down Section 79, and striking down Section 118(d) of the Kerala Police Act to the extent it overlapped with the defects found in Section 66A.</w:t>
      </w:r>
    </w:p>
    <w:p w14:paraId="76A30F62" w14:textId="77777777" w:rsidR="006D56A4" w:rsidRDefault="009B5846">
      <w:pPr>
        <w:pStyle w:val="Heading2"/>
        <w:spacing w:before="220" w:after="120"/>
      </w:pPr>
      <w:r>
        <w:rPr>
          <w:b/>
          <w:bCs/>
          <w:color w:val="000000"/>
          <w:sz w:val="24"/>
          <w:szCs w:val="24"/>
        </w:rPr>
        <w:t>2.2 Material Regulatory Context</w:t>
      </w:r>
    </w:p>
    <w:p w14:paraId="68922340" w14:textId="77777777" w:rsidR="006D56A4" w:rsidRDefault="009B5846">
      <w:pPr>
        <w:spacing w:after="160" w:line="300" w:lineRule="auto"/>
        <w:jc w:val="both"/>
      </w:pPr>
      <w:r>
        <w:lastRenderedPageBreak/>
        <w:t>The underlying dispute concerned the regulation of online speech under the Information Technology Act, 2000, a statute originally enacted to facilitate electronic commerce and provide a legal framework for electronic governance, into which Section 66A had been inserted by way of the Information Technology (Amendment) Act, 2009, with effect from 27 October 2009.</w:t>
      </w:r>
    </w:p>
    <w:p w14:paraId="495F49CE" w14:textId="77777777" w:rsidR="006D56A4" w:rsidRDefault="009B5846">
      <w:pPr>
        <w:pStyle w:val="ListParagraph"/>
        <w:numPr>
          <w:ilvl w:val="0"/>
          <w:numId w:val="2"/>
        </w:numPr>
        <w:spacing w:after="100" w:line="290" w:lineRule="auto"/>
        <w:jc w:val="both"/>
      </w:pPr>
      <w:r>
        <w:t>Section 66A criminalised sending, by means of a computer resource or communication device, any information that was grossly offensive, had menacing character, or was known to be false but sent for the purpose of causing annoyance, inconvenience, danger, obstruction, insult, injury, criminal intimidation, enmity, hatred, or ill will, with a punishment of imprisonment for up to three years.</w:t>
      </w:r>
    </w:p>
    <w:p w14:paraId="679F51D4" w14:textId="77777777" w:rsidR="006D56A4" w:rsidRDefault="009B5846">
      <w:pPr>
        <w:pStyle w:val="ListParagraph"/>
        <w:numPr>
          <w:ilvl w:val="0"/>
          <w:numId w:val="2"/>
        </w:numPr>
        <w:spacing w:after="100" w:line="290" w:lineRule="auto"/>
        <w:jc w:val="both"/>
      </w:pPr>
      <w:r>
        <w:t>Unlike offences under the ordinary penal law, which typically require some demonstrable link to public disorder, incitement, or defamation, Section 66A's language was broad enough to potentially capture ordinary expressions of opinion, humour, criticism, and dissent shared over email, social media, or messaging platforms.</w:t>
      </w:r>
    </w:p>
    <w:p w14:paraId="661324BB" w14:textId="77777777" w:rsidR="006D56A4" w:rsidRDefault="009B5846">
      <w:pPr>
        <w:pStyle w:val="ListParagraph"/>
        <w:numPr>
          <w:ilvl w:val="0"/>
          <w:numId w:val="2"/>
        </w:numPr>
        <w:spacing w:after="100" w:line="290" w:lineRule="auto"/>
        <w:jc w:val="both"/>
      </w:pPr>
      <w:r>
        <w:t>By the time of the litigation, Section 66A had reportedly been invoked in a number of high-profile arrests across India over social media posts and comments, fuelling public concern that the provision was being used less to prevent genuine harm and more to stifle unpopular or critical speech.</w:t>
      </w:r>
    </w:p>
    <w:p w14:paraId="0774F74C" w14:textId="77777777" w:rsidR="006D56A4" w:rsidRDefault="009B5846">
      <w:pPr>
        <w:pStyle w:val="ListParagraph"/>
        <w:numPr>
          <w:ilvl w:val="0"/>
          <w:numId w:val="2"/>
        </w:numPr>
        <w:spacing w:after="100" w:line="290" w:lineRule="auto"/>
        <w:jc w:val="both"/>
      </w:pPr>
      <w:r>
        <w:t>This regulatory backdrop — a rapidly growing base of internet and social media users in India, combined with a criminal provision containing vague and subjective standards, and mirrored at the state level by provisions such as Section 118(d) of the Kerala Police Act — is what gave the case its national significance well beyond the facts of the original Mumbai incident.</w:t>
      </w:r>
    </w:p>
    <w:p w14:paraId="2D3FDE86" w14:textId="77777777" w:rsidR="006D56A4" w:rsidRDefault="009B5846">
      <w:r>
        <w:br w:type="page"/>
      </w:r>
    </w:p>
    <w:p w14:paraId="06489233" w14:textId="77777777" w:rsidR="006D56A4" w:rsidRDefault="009B5846">
      <w:pPr>
        <w:pStyle w:val="Heading1"/>
        <w:spacing w:before="320" w:after="160"/>
      </w:pPr>
      <w:r>
        <w:rPr>
          <w:b/>
          <w:bCs/>
          <w:color w:val="000000"/>
          <w:sz w:val="28"/>
          <w:szCs w:val="28"/>
        </w:rPr>
        <w:lastRenderedPageBreak/>
        <w:t>3. Legal Issue</w:t>
      </w:r>
    </w:p>
    <w:p w14:paraId="291D6800" w14:textId="77777777" w:rsidR="006D56A4" w:rsidRDefault="009B5846">
      <w:pPr>
        <w:pStyle w:val="Heading2"/>
        <w:spacing w:before="220" w:after="120"/>
      </w:pPr>
      <w:r>
        <w:rPr>
          <w:b/>
          <w:bCs/>
          <w:color w:val="000000"/>
          <w:sz w:val="24"/>
          <w:szCs w:val="24"/>
        </w:rPr>
        <w:t>3.1 Primary Question of Law</w:t>
      </w:r>
    </w:p>
    <w:p w14:paraId="682B87B0" w14:textId="77777777" w:rsidR="006D56A4" w:rsidRDefault="009B5846">
      <w:pPr>
        <w:spacing w:after="160" w:line="300" w:lineRule="auto"/>
        <w:jc w:val="both"/>
      </w:pPr>
      <w:r>
        <w:t>Whether Section 66A of the Information Technology Act, 2000, which criminalises sending grossly offensive, menacing, or annoying information through a computer resource or communication device, violates the fundamental right to freedom of speech and expression under Article 19(1)(a) of the Constitution of India, and whether it can be saved as a reasonable restriction under Article 19(2).</w:t>
      </w:r>
    </w:p>
    <w:p w14:paraId="690153E9" w14:textId="77777777" w:rsidR="006D56A4" w:rsidRDefault="009B5846">
      <w:pPr>
        <w:spacing w:after="160" w:line="300" w:lineRule="auto"/>
        <w:jc w:val="both"/>
      </w:pPr>
      <w:r>
        <w:t>This primary question resolved itself, before the Supreme Court, into four distinct sub-issues:</w:t>
      </w:r>
    </w:p>
    <w:p w14:paraId="72FCFDD7" w14:textId="77777777" w:rsidR="006D56A4" w:rsidRDefault="009B5846">
      <w:pPr>
        <w:pStyle w:val="ListParagraph"/>
        <w:numPr>
          <w:ilvl w:val="0"/>
          <w:numId w:val="2"/>
        </w:numPr>
        <w:spacing w:after="100" w:line="290" w:lineRule="auto"/>
        <w:jc w:val="both"/>
      </w:pPr>
      <w:r>
        <w:t>Constitutionality of Section 66A: whether criminalising online content that is 'grossly offensive' or causes 'annoyance' violates Article 19(1)(a), given the vague and undefined nature of these terms.</w:t>
      </w:r>
    </w:p>
    <w:p w14:paraId="6EA30608" w14:textId="77777777" w:rsidR="006D56A4" w:rsidRDefault="009B5846">
      <w:pPr>
        <w:pStyle w:val="ListParagraph"/>
        <w:numPr>
          <w:ilvl w:val="0"/>
          <w:numId w:val="2"/>
        </w:numPr>
        <w:spacing w:after="100" w:line="290" w:lineRule="auto"/>
        <w:jc w:val="both"/>
      </w:pPr>
      <w:r>
        <w:t>Reasonable restrictions: whether Section 66A falls within any of the specific grounds enumerated in Article 19(2), such as public order, decency, morality, defamation, or incitement to an offence, on which reasonable restrictions on free speech may validly be imposed.</w:t>
      </w:r>
    </w:p>
    <w:p w14:paraId="7F2B5484" w14:textId="77777777" w:rsidR="006D56A4" w:rsidRDefault="009B5846">
      <w:pPr>
        <w:pStyle w:val="ListParagraph"/>
        <w:numPr>
          <w:ilvl w:val="0"/>
          <w:numId w:val="2"/>
        </w:numPr>
        <w:spacing w:after="100" w:line="290" w:lineRule="auto"/>
        <w:jc w:val="both"/>
      </w:pPr>
      <w:r>
        <w:t>Intermediary and blocking validity: whether Section 69A, empowering the government to block public access to online content, and Section 79, granting intermediaries conditional safe-harbour immunity, were constitutionally valid, whether as enacted or subject to being read down.</w:t>
      </w:r>
    </w:p>
    <w:p w14:paraId="3C5656A5" w14:textId="77777777" w:rsidR="006D56A4" w:rsidRDefault="009B5846">
      <w:pPr>
        <w:pStyle w:val="ListParagraph"/>
        <w:numPr>
          <w:ilvl w:val="0"/>
          <w:numId w:val="2"/>
        </w:numPr>
        <w:spacing w:after="100" w:line="290" w:lineRule="auto"/>
        <w:jc w:val="both"/>
      </w:pPr>
      <w:r>
        <w:t>Equality under Article 14: whether Section 66A impermissibly discriminated between speech expressed through the internet and identical speech expressed through traditional media such as print or broadcast, by subjecting only the former to this particular criminal sanction.</w:t>
      </w:r>
    </w:p>
    <w:p w14:paraId="5746DA2C" w14:textId="77777777" w:rsidR="006D56A4" w:rsidRDefault="009B5846">
      <w:pPr>
        <w:pStyle w:val="Heading2"/>
        <w:spacing w:before="220" w:after="120"/>
      </w:pPr>
      <w:r>
        <w:rPr>
          <w:b/>
          <w:bCs/>
          <w:color w:val="000000"/>
          <w:sz w:val="24"/>
          <w:szCs w:val="24"/>
        </w:rPr>
        <w:t>3.2 Points of Contention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D56A4" w14:paraId="17AEAB38" w14:textId="77777777">
        <w:tblPrEx>
          <w:tblCellMar>
            <w:top w:w="0" w:type="dxa"/>
            <w:bottom w:w="0" w:type="dxa"/>
          </w:tblCellMar>
        </w:tblPrEx>
        <w:trPr>
          <w:tblHeader/>
        </w:trPr>
        <w:tc>
          <w:tcPr>
            <w:tcW w:w="2500" w:type="pct"/>
            <w:shd w:val="clear" w:color="auto" w:fill="D9D9D9"/>
            <w:tcMar>
              <w:top w:w="100" w:type="dxa"/>
              <w:left w:w="120" w:type="dxa"/>
              <w:bottom w:w="100" w:type="dxa"/>
              <w:right w:w="120" w:type="dxa"/>
            </w:tcMar>
            <w:vAlign w:val="center"/>
          </w:tcPr>
          <w:p w14:paraId="542CA8D8" w14:textId="77777777" w:rsidR="006D56A4" w:rsidRDefault="009B5846">
            <w:r>
              <w:rPr>
                <w:b/>
                <w:bCs/>
              </w:rPr>
              <w:t>Party</w:t>
            </w:r>
          </w:p>
        </w:tc>
        <w:tc>
          <w:tcPr>
            <w:tcW w:w="2500" w:type="pct"/>
            <w:shd w:val="clear" w:color="auto" w:fill="D9D9D9"/>
            <w:tcMar>
              <w:top w:w="100" w:type="dxa"/>
              <w:left w:w="120" w:type="dxa"/>
              <w:bottom w:w="100" w:type="dxa"/>
              <w:right w:w="120" w:type="dxa"/>
            </w:tcMar>
            <w:vAlign w:val="center"/>
          </w:tcPr>
          <w:p w14:paraId="50563EA9" w14:textId="77777777" w:rsidR="006D56A4" w:rsidRDefault="009B5846">
            <w:r>
              <w:rPr>
                <w:b/>
                <w:bCs/>
              </w:rPr>
              <w:t>Argument</w:t>
            </w:r>
          </w:p>
        </w:tc>
      </w:tr>
      <w:tr w:rsidR="006D56A4" w14:paraId="722C1613" w14:textId="77777777">
        <w:tblPrEx>
          <w:tblCellMar>
            <w:top w:w="0" w:type="dxa"/>
            <w:bottom w:w="0" w:type="dxa"/>
          </w:tblCellMar>
        </w:tblPrEx>
        <w:tc>
          <w:tcPr>
            <w:tcW w:w="2500" w:type="pct"/>
            <w:tcMar>
              <w:top w:w="100" w:type="dxa"/>
              <w:left w:w="120" w:type="dxa"/>
              <w:bottom w:w="100" w:type="dxa"/>
              <w:right w:w="120" w:type="dxa"/>
            </w:tcMar>
          </w:tcPr>
          <w:p w14:paraId="22EB444F" w14:textId="77777777" w:rsidR="006D56A4" w:rsidRDefault="009B5846">
            <w:pPr>
              <w:jc w:val="both"/>
            </w:pPr>
            <w:r>
              <w:rPr>
                <w:b/>
                <w:bCs/>
              </w:rPr>
              <w:t>Petitioners (Shreya Singhal &amp; others)</w:t>
            </w:r>
          </w:p>
        </w:tc>
        <w:tc>
          <w:tcPr>
            <w:tcW w:w="2500" w:type="pct"/>
            <w:tcMar>
              <w:top w:w="100" w:type="dxa"/>
              <w:left w:w="120" w:type="dxa"/>
              <w:bottom w:w="100" w:type="dxa"/>
              <w:right w:w="120" w:type="dxa"/>
            </w:tcMar>
          </w:tcPr>
          <w:p w14:paraId="36A850AF" w14:textId="77777777" w:rsidR="006D56A4" w:rsidRDefault="009B5846">
            <w:pPr>
              <w:jc w:val="both"/>
            </w:pPr>
            <w:r>
              <w:t xml:space="preserve">Section 66A was vague and overbroad, using undefined terms such as 'grossly offensive', 'annoyance', 'inconvenience', and 'ill will', which created a chilling effect and led ordinary citizens to self-censor out of fear of arrest; the restriction exceeded the specific grounds permitted under Article 19(2); and the provision violated Article 14 by arbitrarily singling out online speech for harsher </w:t>
            </w:r>
            <w:r>
              <w:lastRenderedPageBreak/>
              <w:t>treatment than the same speech expressed through traditional media.</w:t>
            </w:r>
          </w:p>
        </w:tc>
      </w:tr>
      <w:tr w:rsidR="006D56A4" w14:paraId="6A02F893" w14:textId="77777777">
        <w:tblPrEx>
          <w:tblCellMar>
            <w:top w:w="0" w:type="dxa"/>
            <w:bottom w:w="0" w:type="dxa"/>
          </w:tblCellMar>
        </w:tblPrEx>
        <w:tc>
          <w:tcPr>
            <w:tcW w:w="2500" w:type="pct"/>
            <w:tcMar>
              <w:top w:w="100" w:type="dxa"/>
              <w:left w:w="120" w:type="dxa"/>
              <w:bottom w:w="100" w:type="dxa"/>
              <w:right w:w="120" w:type="dxa"/>
            </w:tcMar>
          </w:tcPr>
          <w:p w14:paraId="2057C234" w14:textId="77777777" w:rsidR="006D56A4" w:rsidRDefault="009B5846">
            <w:pPr>
              <w:jc w:val="both"/>
            </w:pPr>
            <w:r>
              <w:rPr>
                <w:b/>
                <w:bCs/>
              </w:rPr>
              <w:lastRenderedPageBreak/>
              <w:t>Union of India (Respondent)</w:t>
            </w:r>
          </w:p>
        </w:tc>
        <w:tc>
          <w:tcPr>
            <w:tcW w:w="2500" w:type="pct"/>
            <w:tcMar>
              <w:top w:w="100" w:type="dxa"/>
              <w:left w:w="120" w:type="dxa"/>
              <w:bottom w:w="100" w:type="dxa"/>
              <w:right w:w="120" w:type="dxa"/>
            </w:tcMar>
          </w:tcPr>
          <w:p w14:paraId="61C1FC90" w14:textId="77777777" w:rsidR="006D56A4" w:rsidRDefault="009B5846">
            <w:pPr>
              <w:jc w:val="both"/>
            </w:pPr>
            <w:r>
              <w:t>The internet is a distinct and uniquely wide-reaching medium that allows any individual to broadcast content to a vast audience at negligible cost, justifying separate and, where necessary, stricter regulation than traditional media; the mere possibility that a provision might be misused is not, by itself, a valid ground to strike down an otherwise legitimate legislative enactment, and courts should defer to the legislature's assessment of how best to address cybercrime and preserve public order.</w:t>
            </w:r>
          </w:p>
        </w:tc>
      </w:tr>
    </w:tbl>
    <w:p w14:paraId="0F071E8F" w14:textId="77777777" w:rsidR="006D56A4" w:rsidRDefault="009B5846">
      <w:pPr>
        <w:pStyle w:val="Heading1"/>
        <w:spacing w:before="320" w:after="160"/>
      </w:pPr>
      <w:r>
        <w:rPr>
          <w:b/>
          <w:bCs/>
          <w:color w:val="000000"/>
          <w:sz w:val="28"/>
          <w:szCs w:val="28"/>
        </w:rPr>
        <w:t>4. Judgment</w:t>
      </w:r>
    </w:p>
    <w:p w14:paraId="1F2C10CB" w14:textId="77777777" w:rsidR="006D56A4" w:rsidRDefault="009B5846">
      <w:pPr>
        <w:pStyle w:val="Heading2"/>
        <w:spacing w:before="220" w:after="120"/>
      </w:pPr>
      <w:r>
        <w:rPr>
          <w:b/>
          <w:bCs/>
          <w:color w:val="000000"/>
          <w:sz w:val="24"/>
          <w:szCs w:val="24"/>
        </w:rPr>
        <w:t>4.1 Court's Decision</w:t>
      </w:r>
    </w:p>
    <w:p w14:paraId="788D021A" w14:textId="77777777" w:rsidR="006D56A4" w:rsidRDefault="009B5846">
      <w:pPr>
        <w:spacing w:after="160" w:line="300" w:lineRule="auto"/>
        <w:jc w:val="both"/>
      </w:pPr>
      <w:r>
        <w:t>The Supreme Court struck down Section 66A of the Information Technology Act, 2000, in its entirety, holding it unconstitutional for violating Article 19(1)(a) and for not being saved by any of the reasonable restrictions permitted under Article 19(2). The Court upheld the validity of Section 69A and the accompanying Blocking Rules, 2009, subject to the procedural safeguards already built into them, and read down Section 79 and the associated Intermediary Guidelines Rules, 2011, holding that intermediaries a</w:t>
      </w:r>
      <w:r>
        <w:t>re required to remove content only upon receiving actual knowledge through a court order or a notification from an appropriate government agency, rather than acting on any private complaint. The Court also struck down Section 118(d) of the Kerala Police Act, 2011, to the extent it suffered from the same vagueness and overbreadth as Section 66A, but rejected the petitioners' separate challenge under Article 14.</w:t>
      </w:r>
    </w:p>
    <w:p w14:paraId="54968ECA" w14:textId="77777777" w:rsidR="006D56A4" w:rsidRDefault="009B5846">
      <w:pPr>
        <w:pStyle w:val="Heading2"/>
        <w:spacing w:before="220" w:after="120"/>
      </w:pPr>
      <w:r>
        <w:rPr>
          <w:b/>
          <w:bCs/>
          <w:color w:val="000000"/>
          <w:sz w:val="24"/>
          <w:szCs w:val="24"/>
        </w:rPr>
        <w:t>4.2 Ratio Decidendi (Judicial Reasoning)</w:t>
      </w:r>
    </w:p>
    <w:p w14:paraId="2EF0B23A" w14:textId="77777777" w:rsidR="006D56A4" w:rsidRDefault="009B5846">
      <w:pPr>
        <w:spacing w:after="160" w:line="300" w:lineRule="auto"/>
        <w:jc w:val="both"/>
      </w:pPr>
      <w:r>
        <w:t>Delivering the judgment on behalf of the Bench, Nariman J. developed several connected strands of reasoning that together form the ratio decidendi of the case:</w:t>
      </w:r>
    </w:p>
    <w:p w14:paraId="62F2228D" w14:textId="77777777" w:rsidR="006D56A4" w:rsidRDefault="009B5846">
      <w:pPr>
        <w:pStyle w:val="ListParagraph"/>
        <w:numPr>
          <w:ilvl w:val="0"/>
          <w:numId w:val="2"/>
        </w:numPr>
        <w:spacing w:after="100" w:line="290" w:lineRule="auto"/>
        <w:jc w:val="both"/>
      </w:pPr>
      <w:r>
        <w:t>Distinction between discussion, advocacy, and incitement: The Court held that the right to freedom of speech and expression protects not only popular views but also discussion and advocacy of any cause, however unpopular or distasteful; only speech that amounts to incitement, and has a proximate connection to public disorder or one of the other grounds in Article 19(2), can validly be restricted. Section 66A, by contrast, made no such distinction and criminalised mere discussion or annoyance regardless of a</w:t>
      </w:r>
      <w:r>
        <w:t>ny connection to incitement or public disorder.</w:t>
      </w:r>
    </w:p>
    <w:p w14:paraId="7E245FFF" w14:textId="77777777" w:rsidR="006D56A4" w:rsidRDefault="009B5846">
      <w:pPr>
        <w:pStyle w:val="ListParagraph"/>
        <w:numPr>
          <w:ilvl w:val="0"/>
          <w:numId w:val="2"/>
        </w:numPr>
        <w:spacing w:after="100" w:line="290" w:lineRule="auto"/>
        <w:jc w:val="both"/>
      </w:pPr>
      <w:r>
        <w:lastRenderedPageBreak/>
        <w:t>Vagueness and undefined terms: The Court found that terms such as 'grossly offensive', 'menacing character', 'annoyance', 'inconvenience', and 'ill will' were vague, subjective, and undefined, leaving their application entirely to the subjective satisfaction of the investigating authority; what may cause annoyance to one person may not annoy another, making it impossible for citizens to know in advance what speech is lawful.</w:t>
      </w:r>
    </w:p>
    <w:p w14:paraId="5483C59A" w14:textId="77777777" w:rsidR="006D56A4" w:rsidRDefault="009B5846">
      <w:pPr>
        <w:pStyle w:val="ListParagraph"/>
        <w:numPr>
          <w:ilvl w:val="0"/>
          <w:numId w:val="2"/>
        </w:numPr>
        <w:spacing w:after="100" w:line="290" w:lineRule="auto"/>
        <w:jc w:val="both"/>
      </w:pPr>
      <w:r>
        <w:t>The chilling effect on free speech: Because ordinary people could not predict whether their online expression might be treated as an offence, the Court held that Section 66A had a chilling effect on speech, deterring even wholly legitimate expression out of fear of arbitrary prosecution — an effect the Court treated as itself a serious constitutional harm, independent of how the provision might be applied in any particular case.</w:t>
      </w:r>
    </w:p>
    <w:p w14:paraId="5E408A79" w14:textId="77777777" w:rsidR="006D56A4" w:rsidRDefault="009B5846">
      <w:pPr>
        <w:pStyle w:val="ListParagraph"/>
        <w:numPr>
          <w:ilvl w:val="0"/>
          <w:numId w:val="2"/>
        </w:numPr>
        <w:spacing w:after="100" w:line="290" w:lineRule="auto"/>
        <w:jc w:val="both"/>
      </w:pPr>
      <w:r>
        <w:t>No proximate connection to any Article 19(2) ground: The Court examined each of the specific grounds in Article 19(2) and held that Section 66A's language was not confined to any of them; the provision could penalise speech that had no proximate relationship to public disorder or any other permissible ground of restriction, and was accordingly incapable of being saved as a reasonable restriction.</w:t>
      </w:r>
    </w:p>
    <w:p w14:paraId="6D0D2284" w14:textId="77777777" w:rsidR="006D56A4" w:rsidRDefault="009B5846">
      <w:pPr>
        <w:pStyle w:val="ListParagraph"/>
        <w:numPr>
          <w:ilvl w:val="0"/>
          <w:numId w:val="2"/>
        </w:numPr>
        <w:spacing w:after="100" w:line="290" w:lineRule="auto"/>
        <w:jc w:val="both"/>
      </w:pPr>
      <w:r>
        <w:t>Article 14 challenge rejected: The Court rejected the petitioners' separate argument that Section 66A was discriminatory under Article 14 for singling out online speech; it held that there exists an intelligible differentia between speech on the internet and speech through other media, since the internet allows any individual to reach a vast audience at negligible cost, justifying separate legislative treatment of internet-based offences.</w:t>
      </w:r>
    </w:p>
    <w:p w14:paraId="2BF204A3" w14:textId="77777777" w:rsidR="006D56A4" w:rsidRDefault="009B5846">
      <w:pPr>
        <w:pStyle w:val="ListParagraph"/>
        <w:numPr>
          <w:ilvl w:val="0"/>
          <w:numId w:val="2"/>
        </w:numPr>
        <w:spacing w:after="100" w:line="290" w:lineRule="auto"/>
        <w:jc w:val="both"/>
      </w:pPr>
      <w:r>
        <w:t>Severability considered and rejected: The Union of India argued that the Court should merely 'read down' Section 66A to apply only to genuinely harmful speech, rather than striking it down altogether. The Court rejected this approach, holding that the language of the section was so open-ended and untethered from any workable definition that it could not be saved by a judicially engineered narrowing.</w:t>
      </w:r>
    </w:p>
    <w:p w14:paraId="7EA89D3B" w14:textId="77777777" w:rsidR="006D56A4" w:rsidRDefault="009B5846">
      <w:pPr>
        <w:pStyle w:val="ListParagraph"/>
        <w:numPr>
          <w:ilvl w:val="0"/>
          <w:numId w:val="2"/>
        </w:numPr>
        <w:spacing w:after="100" w:line="290" w:lineRule="auto"/>
        <w:jc w:val="both"/>
      </w:pPr>
      <w:r>
        <w:t>Section 69A distinguished and upheld: Unlike Section 66A, Section 69A was found to be narrowly tailored, applicable only on specified grounds mirroring Article 19(2), and accompanied by written procedural safeguards, including reasoned orders and a review mechanism, justifying its constitutional validity.</w:t>
      </w:r>
    </w:p>
    <w:p w14:paraId="25A4CD3B" w14:textId="77777777" w:rsidR="006D56A4" w:rsidRDefault="009B5846">
      <w:pPr>
        <w:pStyle w:val="ListParagraph"/>
        <w:numPr>
          <w:ilvl w:val="0"/>
          <w:numId w:val="2"/>
        </w:numPr>
        <w:spacing w:after="100" w:line="290" w:lineRule="auto"/>
        <w:jc w:val="both"/>
      </w:pPr>
      <w:r>
        <w:t>Section 79 read down rather than struck down: The Court held that requiring intermediaries to exercise independent judgment over the legality of user content, based merely on private complaints, would be unworkable and would encourage excessive takedowns; actual knowledge for the purposes of Section 79 was therefore read down to mean knowledge obtained through a court order or a government notification.</w:t>
      </w:r>
    </w:p>
    <w:p w14:paraId="3E622062" w14:textId="77777777" w:rsidR="006D56A4" w:rsidRDefault="009B5846">
      <w:pPr>
        <w:pBdr>
          <w:left w:val="single" w:sz="12" w:space="12" w:color="888888"/>
        </w:pBdr>
        <w:spacing w:before="120" w:after="120" w:line="290" w:lineRule="auto"/>
        <w:ind w:left="500" w:right="500"/>
      </w:pPr>
      <w:r>
        <w:rPr>
          <w:i/>
          <w:iCs/>
        </w:rPr>
        <w:lastRenderedPageBreak/>
        <w:t>"Section 66A is unconstitutional also on the ground that it takes within its sweep protected speech and speech that is innocent in nature and is liable therefore to be used in such a way as to have a chilling effect on free speech."</w:t>
      </w:r>
      <w:r>
        <w:rPr>
          <w:b/>
          <w:bCs/>
          <w:i/>
          <w:iCs/>
        </w:rPr>
        <w:t xml:space="preserve"> — Nariman J.</w:t>
      </w:r>
    </w:p>
    <w:p w14:paraId="5581222C" w14:textId="77777777" w:rsidR="006D56A4" w:rsidRDefault="009B5846">
      <w:r>
        <w:br w:type="page"/>
      </w:r>
    </w:p>
    <w:p w14:paraId="5608D244" w14:textId="77777777" w:rsidR="006D56A4" w:rsidRDefault="009B5846">
      <w:pPr>
        <w:pStyle w:val="Heading2"/>
        <w:spacing w:before="220" w:after="120"/>
      </w:pPr>
      <w:r>
        <w:rPr>
          <w:b/>
          <w:bCs/>
          <w:color w:val="000000"/>
          <w:sz w:val="24"/>
          <w:szCs w:val="24"/>
        </w:rPr>
        <w:lastRenderedPageBreak/>
        <w:t>4.3 Provision-wise Summary of the Verdict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647"/>
        <w:gridCol w:w="3647"/>
      </w:tblGrid>
      <w:tr w:rsidR="006D56A4" w14:paraId="4D6CF4B1" w14:textId="77777777">
        <w:tblPrEx>
          <w:tblCellMar>
            <w:top w:w="0" w:type="dxa"/>
            <w:bottom w:w="0" w:type="dxa"/>
          </w:tblCellMar>
        </w:tblPrEx>
        <w:trPr>
          <w:tblHeader/>
        </w:trPr>
        <w:tc>
          <w:tcPr>
            <w:tcW w:w="1100" w:type="pct"/>
            <w:shd w:val="clear" w:color="auto" w:fill="D9D9D9"/>
            <w:tcMar>
              <w:top w:w="100" w:type="dxa"/>
              <w:left w:w="120" w:type="dxa"/>
              <w:bottom w:w="100" w:type="dxa"/>
              <w:right w:w="120" w:type="dxa"/>
            </w:tcMar>
            <w:vAlign w:val="center"/>
          </w:tcPr>
          <w:p w14:paraId="2B776434" w14:textId="77777777" w:rsidR="006D56A4" w:rsidRDefault="009B5846">
            <w:r>
              <w:rPr>
                <w:b/>
                <w:bCs/>
              </w:rPr>
              <w:t>Provision</w:t>
            </w:r>
          </w:p>
        </w:tc>
        <w:tc>
          <w:tcPr>
            <w:tcW w:w="1950" w:type="pct"/>
            <w:shd w:val="clear" w:color="auto" w:fill="D9D9D9"/>
            <w:tcMar>
              <w:top w:w="100" w:type="dxa"/>
              <w:left w:w="120" w:type="dxa"/>
              <w:bottom w:w="100" w:type="dxa"/>
              <w:right w:w="120" w:type="dxa"/>
            </w:tcMar>
            <w:vAlign w:val="center"/>
          </w:tcPr>
          <w:p w14:paraId="1E4BEF24" w14:textId="77777777" w:rsidR="006D56A4" w:rsidRDefault="009B5846">
            <w:r>
              <w:rPr>
                <w:b/>
                <w:bCs/>
              </w:rPr>
              <w:t>Court's Verdict</w:t>
            </w:r>
          </w:p>
        </w:tc>
        <w:tc>
          <w:tcPr>
            <w:tcW w:w="1950" w:type="pct"/>
            <w:shd w:val="clear" w:color="auto" w:fill="D9D9D9"/>
            <w:tcMar>
              <w:top w:w="100" w:type="dxa"/>
              <w:left w:w="120" w:type="dxa"/>
              <w:bottom w:w="100" w:type="dxa"/>
              <w:right w:w="120" w:type="dxa"/>
            </w:tcMar>
            <w:vAlign w:val="center"/>
          </w:tcPr>
          <w:p w14:paraId="62220028" w14:textId="77777777" w:rsidR="006D56A4" w:rsidRDefault="009B5846">
            <w:r>
              <w:rPr>
                <w:b/>
                <w:bCs/>
              </w:rPr>
              <w:t>Key Legal Principle</w:t>
            </w:r>
          </w:p>
        </w:tc>
      </w:tr>
      <w:tr w:rsidR="006D56A4" w14:paraId="0E1D2EBD" w14:textId="77777777">
        <w:tblPrEx>
          <w:tblCellMar>
            <w:top w:w="0" w:type="dxa"/>
            <w:bottom w:w="0" w:type="dxa"/>
          </w:tblCellMar>
        </w:tblPrEx>
        <w:tc>
          <w:tcPr>
            <w:tcW w:w="1100" w:type="pct"/>
            <w:shd w:val="clear" w:color="auto" w:fill="D9D9D9"/>
            <w:tcMar>
              <w:top w:w="100" w:type="dxa"/>
              <w:left w:w="120" w:type="dxa"/>
              <w:bottom w:w="100" w:type="dxa"/>
              <w:right w:w="120" w:type="dxa"/>
            </w:tcMar>
            <w:vAlign w:val="center"/>
          </w:tcPr>
          <w:p w14:paraId="67F4154C" w14:textId="77777777" w:rsidR="006D56A4" w:rsidRDefault="009B5846">
            <w:r>
              <w:rPr>
                <w:b/>
                <w:bCs/>
              </w:rPr>
              <w:t>Section 66A</w:t>
            </w:r>
          </w:p>
        </w:tc>
        <w:tc>
          <w:tcPr>
            <w:tcW w:w="1950" w:type="pct"/>
            <w:tcMar>
              <w:top w:w="100" w:type="dxa"/>
              <w:left w:w="120" w:type="dxa"/>
              <w:bottom w:w="100" w:type="dxa"/>
              <w:right w:w="120" w:type="dxa"/>
            </w:tcMar>
          </w:tcPr>
          <w:p w14:paraId="19E1ED23" w14:textId="77777777" w:rsidR="006D56A4" w:rsidRDefault="009B5846">
            <w:pPr>
              <w:jc w:val="both"/>
            </w:pPr>
            <w:r>
              <w:rPr>
                <w:sz w:val="20"/>
                <w:szCs w:val="20"/>
              </w:rPr>
              <w:t>Struck down in its entirety as unconstitutional.</w:t>
            </w:r>
          </w:p>
        </w:tc>
        <w:tc>
          <w:tcPr>
            <w:tcW w:w="1950" w:type="pct"/>
            <w:tcMar>
              <w:top w:w="100" w:type="dxa"/>
              <w:left w:w="120" w:type="dxa"/>
              <w:bottom w:w="100" w:type="dxa"/>
              <w:right w:w="120" w:type="dxa"/>
            </w:tcMar>
          </w:tcPr>
          <w:p w14:paraId="0B531A1B" w14:textId="77777777" w:rsidR="006D56A4" w:rsidRDefault="009B5846">
            <w:pPr>
              <w:jc w:val="both"/>
            </w:pPr>
            <w:r>
              <w:rPr>
                <w:sz w:val="20"/>
                <w:szCs w:val="20"/>
              </w:rPr>
              <w:t>Violated Article 19(1)(a) and was not saved by Article 19(2). The Court drew a distinction between discussion/advocacy (protected) and incitement (</w:t>
            </w:r>
            <w:proofErr w:type="spellStart"/>
            <w:r>
              <w:rPr>
                <w:sz w:val="20"/>
                <w:szCs w:val="20"/>
              </w:rPr>
              <w:t>restrictable</w:t>
            </w:r>
            <w:proofErr w:type="spellEnd"/>
            <w:r>
              <w:rPr>
                <w:sz w:val="20"/>
                <w:szCs w:val="20"/>
              </w:rPr>
              <w:t>); Section 66A criminalised basic discussion without requiring proof of incitement or public disturbance.</w:t>
            </w:r>
          </w:p>
        </w:tc>
      </w:tr>
      <w:tr w:rsidR="006D56A4" w14:paraId="29414FC0" w14:textId="77777777">
        <w:tblPrEx>
          <w:tblCellMar>
            <w:top w:w="0" w:type="dxa"/>
            <w:bottom w:w="0" w:type="dxa"/>
          </w:tblCellMar>
        </w:tblPrEx>
        <w:tc>
          <w:tcPr>
            <w:tcW w:w="1100" w:type="pct"/>
            <w:shd w:val="clear" w:color="auto" w:fill="D9D9D9"/>
            <w:tcMar>
              <w:top w:w="100" w:type="dxa"/>
              <w:left w:w="120" w:type="dxa"/>
              <w:bottom w:w="100" w:type="dxa"/>
              <w:right w:w="120" w:type="dxa"/>
            </w:tcMar>
            <w:vAlign w:val="center"/>
          </w:tcPr>
          <w:p w14:paraId="1096D397" w14:textId="77777777" w:rsidR="006D56A4" w:rsidRDefault="009B5846">
            <w:r>
              <w:rPr>
                <w:b/>
                <w:bCs/>
              </w:rPr>
              <w:t>Section 69A</w:t>
            </w:r>
          </w:p>
        </w:tc>
        <w:tc>
          <w:tcPr>
            <w:tcW w:w="1950" w:type="pct"/>
            <w:tcMar>
              <w:top w:w="100" w:type="dxa"/>
              <w:left w:w="120" w:type="dxa"/>
              <w:bottom w:w="100" w:type="dxa"/>
              <w:right w:w="120" w:type="dxa"/>
            </w:tcMar>
          </w:tcPr>
          <w:p w14:paraId="054013E9" w14:textId="77777777" w:rsidR="006D56A4" w:rsidRDefault="009B5846">
            <w:pPr>
              <w:jc w:val="both"/>
            </w:pPr>
            <w:r>
              <w:rPr>
                <w:sz w:val="20"/>
                <w:szCs w:val="20"/>
              </w:rPr>
              <w:t>Upheld as constitutionally valid.</w:t>
            </w:r>
          </w:p>
        </w:tc>
        <w:tc>
          <w:tcPr>
            <w:tcW w:w="1950" w:type="pct"/>
            <w:tcMar>
              <w:top w:w="100" w:type="dxa"/>
              <w:left w:w="120" w:type="dxa"/>
              <w:bottom w:w="100" w:type="dxa"/>
              <w:right w:w="120" w:type="dxa"/>
            </w:tcMar>
          </w:tcPr>
          <w:p w14:paraId="06489323" w14:textId="77777777" w:rsidR="006D56A4" w:rsidRDefault="009B5846">
            <w:pPr>
              <w:jc w:val="both"/>
            </w:pPr>
            <w:r>
              <w:rPr>
                <w:sz w:val="20"/>
                <w:szCs w:val="20"/>
              </w:rPr>
              <w:t>The provision was narrowly tailored for national security and public order, equipped with written safeguards, hearing mechanisms, and judicial review options.</w:t>
            </w:r>
          </w:p>
        </w:tc>
      </w:tr>
      <w:tr w:rsidR="006D56A4" w14:paraId="2D06D636" w14:textId="77777777">
        <w:tblPrEx>
          <w:tblCellMar>
            <w:top w:w="0" w:type="dxa"/>
            <w:bottom w:w="0" w:type="dxa"/>
          </w:tblCellMar>
        </w:tblPrEx>
        <w:tc>
          <w:tcPr>
            <w:tcW w:w="1100" w:type="pct"/>
            <w:shd w:val="clear" w:color="auto" w:fill="D9D9D9"/>
            <w:tcMar>
              <w:top w:w="100" w:type="dxa"/>
              <w:left w:w="120" w:type="dxa"/>
              <w:bottom w:w="100" w:type="dxa"/>
              <w:right w:w="120" w:type="dxa"/>
            </w:tcMar>
            <w:vAlign w:val="center"/>
          </w:tcPr>
          <w:p w14:paraId="499D4EC4" w14:textId="77777777" w:rsidR="006D56A4" w:rsidRDefault="009B5846">
            <w:r>
              <w:rPr>
                <w:b/>
                <w:bCs/>
              </w:rPr>
              <w:t>Section 79</w:t>
            </w:r>
          </w:p>
        </w:tc>
        <w:tc>
          <w:tcPr>
            <w:tcW w:w="1950" w:type="pct"/>
            <w:tcMar>
              <w:top w:w="100" w:type="dxa"/>
              <w:left w:w="120" w:type="dxa"/>
              <w:bottom w:w="100" w:type="dxa"/>
              <w:right w:w="120" w:type="dxa"/>
            </w:tcMar>
          </w:tcPr>
          <w:p w14:paraId="32E3A320" w14:textId="77777777" w:rsidR="006D56A4" w:rsidRDefault="009B5846">
            <w:pPr>
              <w:jc w:val="both"/>
            </w:pPr>
            <w:r>
              <w:rPr>
                <w:sz w:val="20"/>
                <w:szCs w:val="20"/>
              </w:rPr>
              <w:t>Read down (modified).</w:t>
            </w:r>
          </w:p>
        </w:tc>
        <w:tc>
          <w:tcPr>
            <w:tcW w:w="1950" w:type="pct"/>
            <w:tcMar>
              <w:top w:w="100" w:type="dxa"/>
              <w:left w:w="120" w:type="dxa"/>
              <w:bottom w:w="100" w:type="dxa"/>
              <w:right w:w="120" w:type="dxa"/>
            </w:tcMar>
          </w:tcPr>
          <w:p w14:paraId="61F5C802" w14:textId="77777777" w:rsidR="006D56A4" w:rsidRDefault="009B5846">
            <w:pPr>
              <w:jc w:val="both"/>
            </w:pPr>
            <w:r>
              <w:rPr>
                <w:sz w:val="20"/>
                <w:szCs w:val="20"/>
              </w:rPr>
              <w:t>Online intermediaries cannot be forced to remove content on mere user complaints. Safe-harbour immunity is revoked only if the intermediary fails to act upon a court order or official government notification.</w:t>
            </w:r>
          </w:p>
        </w:tc>
      </w:tr>
      <w:tr w:rsidR="006D56A4" w14:paraId="76B7F995" w14:textId="77777777">
        <w:tblPrEx>
          <w:tblCellMar>
            <w:top w:w="0" w:type="dxa"/>
            <w:bottom w:w="0" w:type="dxa"/>
          </w:tblCellMar>
        </w:tblPrEx>
        <w:tc>
          <w:tcPr>
            <w:tcW w:w="1100" w:type="pct"/>
            <w:shd w:val="clear" w:color="auto" w:fill="D9D9D9"/>
            <w:tcMar>
              <w:top w:w="100" w:type="dxa"/>
              <w:left w:w="120" w:type="dxa"/>
              <w:bottom w:w="100" w:type="dxa"/>
              <w:right w:w="120" w:type="dxa"/>
            </w:tcMar>
            <w:vAlign w:val="center"/>
          </w:tcPr>
          <w:p w14:paraId="7A549527" w14:textId="77777777" w:rsidR="006D56A4" w:rsidRDefault="009B5846">
            <w:r>
              <w:rPr>
                <w:b/>
                <w:bCs/>
              </w:rPr>
              <w:t>Section 118(d), Kerala Police Act</w:t>
            </w:r>
          </w:p>
        </w:tc>
        <w:tc>
          <w:tcPr>
            <w:tcW w:w="1950" w:type="pct"/>
            <w:tcMar>
              <w:top w:w="100" w:type="dxa"/>
              <w:left w:w="120" w:type="dxa"/>
              <w:bottom w:w="100" w:type="dxa"/>
              <w:right w:w="120" w:type="dxa"/>
            </w:tcMar>
          </w:tcPr>
          <w:p w14:paraId="19EAFA92" w14:textId="77777777" w:rsidR="006D56A4" w:rsidRDefault="009B5846">
            <w:pPr>
              <w:jc w:val="both"/>
            </w:pPr>
            <w:r>
              <w:rPr>
                <w:sz w:val="20"/>
                <w:szCs w:val="20"/>
              </w:rPr>
              <w:t>Struck down as unconstitutional.</w:t>
            </w:r>
          </w:p>
        </w:tc>
        <w:tc>
          <w:tcPr>
            <w:tcW w:w="1950" w:type="pct"/>
            <w:tcMar>
              <w:top w:w="100" w:type="dxa"/>
              <w:left w:w="120" w:type="dxa"/>
              <w:bottom w:w="100" w:type="dxa"/>
              <w:right w:w="120" w:type="dxa"/>
            </w:tcMar>
          </w:tcPr>
          <w:p w14:paraId="669B8130" w14:textId="77777777" w:rsidR="006D56A4" w:rsidRDefault="009B5846">
            <w:pPr>
              <w:jc w:val="both"/>
            </w:pPr>
            <w:r>
              <w:rPr>
                <w:sz w:val="20"/>
                <w:szCs w:val="20"/>
              </w:rPr>
              <w:t>The provision replicated the same vagueness and overbreadth defects as Section 66A and was accordingly held to fall outside the reasonable restrictions permitted under Article 19(2).</w:t>
            </w:r>
          </w:p>
        </w:tc>
      </w:tr>
    </w:tbl>
    <w:p w14:paraId="0AEEBF98" w14:textId="77777777" w:rsidR="006D56A4" w:rsidRDefault="009B5846">
      <w:pPr>
        <w:pStyle w:val="Heading1"/>
        <w:spacing w:before="320" w:after="160"/>
      </w:pPr>
      <w:r>
        <w:rPr>
          <w:b/>
          <w:bCs/>
          <w:color w:val="000000"/>
          <w:sz w:val="28"/>
          <w:szCs w:val="28"/>
        </w:rPr>
        <w:t>5. Legal Principle: Free Speech and Constitutional Analysis</w:t>
      </w:r>
    </w:p>
    <w:p w14:paraId="0438E471" w14:textId="77777777" w:rsidR="006D56A4" w:rsidRDefault="009B5846">
      <w:pPr>
        <w:spacing w:after="160" w:line="300" w:lineRule="auto"/>
        <w:jc w:val="both"/>
      </w:pPr>
      <w:r>
        <w:t>This section breaks down the key legal principle established in Shreya Singhal by examining the scope of the right under Article 19(1)(a), the limited grounds for restricting it under Article 19(2), and the constitutional doctrines the Court used to strike down Section 66A.</w:t>
      </w:r>
    </w:p>
    <w:p w14:paraId="15A07BB3" w14:textId="77777777" w:rsidR="006D56A4" w:rsidRDefault="009B5846">
      <w:pPr>
        <w:pStyle w:val="Heading2"/>
        <w:spacing w:before="220" w:after="120"/>
      </w:pPr>
      <w:r>
        <w:rPr>
          <w:b/>
          <w:bCs/>
          <w:color w:val="000000"/>
          <w:sz w:val="24"/>
          <w:szCs w:val="24"/>
        </w:rPr>
        <w:t>5.1 Evaluation of the Right under Article 19(1)(a)</w:t>
      </w:r>
    </w:p>
    <w:p w14:paraId="48B641CB" w14:textId="77777777" w:rsidR="006D56A4" w:rsidRDefault="009B5846">
      <w:pPr>
        <w:spacing w:after="160" w:line="300" w:lineRule="auto"/>
        <w:jc w:val="both"/>
      </w:pPr>
      <w:r>
        <w:t xml:space="preserve">A foundational question in any </w:t>
      </w:r>
      <w:proofErr w:type="gramStart"/>
      <w:r>
        <w:t>free speech</w:t>
      </w:r>
      <w:proofErr w:type="gramEnd"/>
      <w:r>
        <w:t xml:space="preserve"> case is the scope of the right itself, and whether the speech in question falls within its protection.</w:t>
      </w:r>
    </w:p>
    <w:p w14:paraId="1306D254" w14:textId="77777777" w:rsidR="006D56A4" w:rsidRDefault="009B5846">
      <w:pPr>
        <w:pStyle w:val="ListParagraph"/>
        <w:numPr>
          <w:ilvl w:val="0"/>
          <w:numId w:val="2"/>
        </w:numPr>
        <w:spacing w:after="100" w:line="290" w:lineRule="auto"/>
        <w:jc w:val="both"/>
      </w:pPr>
      <w:r>
        <w:t>Article 19(1)(a) guarantees to all citizens the right to freedom of speech and expression, a right the Supreme Court has long held to encompass not merely political speech but also artistic, commercial, and even unpopular or offensive expression, subject only to the narrow restrictions in Article 19(2); the Court traced this principle through earlier precedents such as Sakal Papers (P) Ltd. v Union of India and Bennett Coleman &amp; Co. v Union of India.</w:t>
      </w:r>
    </w:p>
    <w:p w14:paraId="07BFA23B" w14:textId="77777777" w:rsidR="006D56A4" w:rsidRDefault="009B5846">
      <w:pPr>
        <w:pStyle w:val="ListParagraph"/>
        <w:numPr>
          <w:ilvl w:val="0"/>
          <w:numId w:val="2"/>
        </w:numPr>
        <w:spacing w:after="100" w:line="290" w:lineRule="auto"/>
        <w:jc w:val="both"/>
      </w:pPr>
      <w:r>
        <w:t xml:space="preserve">The Court in Shreya Singhal reaffirmed that the right protects three distinct categories of expression — discussion, advocacy, and incitement — and held that only incitement, with a proximate link to a permissible ground of restriction, falls outside constitutional protection; </w:t>
      </w:r>
      <w:r>
        <w:lastRenderedPageBreak/>
        <w:t>mere discussion or advocacy of even unpopular or distasteful causes remains protected speech.</w:t>
      </w:r>
    </w:p>
    <w:p w14:paraId="5DBF705F" w14:textId="77777777" w:rsidR="006D56A4" w:rsidRDefault="009B5846">
      <w:pPr>
        <w:pStyle w:val="ListParagraph"/>
        <w:numPr>
          <w:ilvl w:val="0"/>
          <w:numId w:val="2"/>
        </w:numPr>
        <w:spacing w:after="100" w:line="290" w:lineRule="auto"/>
        <w:jc w:val="both"/>
      </w:pPr>
      <w:r>
        <w:t>This distinction was central to the outcome: the Facebook post that led to the original arrests was, at most, discussion or advocacy of a political opinion, falling squarely within the protected category rather than amounting to incitement of any kind.</w:t>
      </w:r>
    </w:p>
    <w:p w14:paraId="1446DC88" w14:textId="77777777" w:rsidR="006D56A4" w:rsidRDefault="009B5846">
      <w:pPr>
        <w:pStyle w:val="Heading2"/>
        <w:spacing w:before="220" w:after="120"/>
      </w:pPr>
      <w:r>
        <w:rPr>
          <w:b/>
          <w:bCs/>
          <w:color w:val="000000"/>
          <w:sz w:val="24"/>
          <w:szCs w:val="24"/>
        </w:rPr>
        <w:t>5.2 Reasonable Restrictions under Article 19(2)</w:t>
      </w:r>
    </w:p>
    <w:p w14:paraId="7D871615" w14:textId="77777777" w:rsidR="006D56A4" w:rsidRDefault="009B5846">
      <w:pPr>
        <w:spacing w:after="160" w:line="300" w:lineRule="auto"/>
        <w:jc w:val="both"/>
      </w:pPr>
      <w:r>
        <w:t>Article 19(2) permits the state to impose reasonable restrictions on free speech only on specifically enumerated grounds, and the Court's analysis of Section 66A against these grounds was decisive to its finding of unconstitutionality.</w:t>
      </w:r>
    </w:p>
    <w:p w14:paraId="42672B2D" w14:textId="77777777" w:rsidR="006D56A4" w:rsidRDefault="009B5846">
      <w:pPr>
        <w:pStyle w:val="ListParagraph"/>
        <w:numPr>
          <w:ilvl w:val="0"/>
          <w:numId w:val="2"/>
        </w:numPr>
        <w:spacing w:after="100" w:line="290" w:lineRule="auto"/>
        <w:jc w:val="both"/>
      </w:pPr>
      <w:r>
        <w:t>The grounds available under Article 19(2) include the security of the state, friendly relations with foreign states, public order, decency or morality, contempt of court, defamation, incitement to an offence, and the sovereignty and integrity of India — an exhaustive, not illustrative, list.</w:t>
      </w:r>
    </w:p>
    <w:p w14:paraId="0AF02775" w14:textId="77777777" w:rsidR="006D56A4" w:rsidRDefault="009B5846">
      <w:pPr>
        <w:pStyle w:val="ListParagraph"/>
        <w:numPr>
          <w:ilvl w:val="0"/>
          <w:numId w:val="2"/>
        </w:numPr>
        <w:spacing w:after="100" w:line="290" w:lineRule="auto"/>
        <w:jc w:val="both"/>
      </w:pPr>
      <w:r>
        <w:t>The Court held that Section 66A's language — criminalising speech that is merely 'annoying', 'inconvenient', or causes 'ill will' — could not be tied to any of these specific grounds; a message causing annoyance, for instance, need have no connection whatsoever to public order or any other permitted restriction.</w:t>
      </w:r>
    </w:p>
    <w:p w14:paraId="3A265945" w14:textId="77777777" w:rsidR="006D56A4" w:rsidRDefault="009B5846">
      <w:pPr>
        <w:pStyle w:val="ListParagraph"/>
        <w:numPr>
          <w:ilvl w:val="0"/>
          <w:numId w:val="2"/>
        </w:numPr>
        <w:spacing w:after="100" w:line="290" w:lineRule="auto"/>
        <w:jc w:val="both"/>
      </w:pPr>
      <w:r>
        <w:t>Because a restriction on speech must be narrowly tailored to a ground actually listed in Article 19(2), and Section 66A's restriction extended far beyond any such ground, the provision could not be saved as a reasonable restriction, however well-intentioned its underlying purpose may have been.</w:t>
      </w:r>
    </w:p>
    <w:p w14:paraId="6C3B7485" w14:textId="77777777" w:rsidR="006D56A4" w:rsidRDefault="009B5846">
      <w:pPr>
        <w:pStyle w:val="Heading2"/>
        <w:spacing w:before="220" w:after="120"/>
      </w:pPr>
      <w:r>
        <w:rPr>
          <w:b/>
          <w:bCs/>
          <w:color w:val="000000"/>
          <w:sz w:val="24"/>
          <w:szCs w:val="24"/>
        </w:rPr>
        <w:t>5.3 Doctrine of Vagueness, Overbreadth, and the Chilling Effect</w:t>
      </w:r>
    </w:p>
    <w:p w14:paraId="3FF204F5" w14:textId="77777777" w:rsidR="006D56A4" w:rsidRDefault="009B5846">
      <w:pPr>
        <w:spacing w:after="160" w:line="300" w:lineRule="auto"/>
        <w:jc w:val="both"/>
      </w:pPr>
      <w:r>
        <w:t xml:space="preserve">Beyond the specific grounds analysis, the Court's reasoning drew on constitutional doctrines that have since become central to Indian </w:t>
      </w:r>
      <w:proofErr w:type="gramStart"/>
      <w:r>
        <w:t>free speech</w:t>
      </w:r>
      <w:proofErr w:type="gramEnd"/>
      <w:r>
        <w:t xml:space="preserve"> jurisprudence.</w:t>
      </w:r>
    </w:p>
    <w:p w14:paraId="42B5018C" w14:textId="77777777" w:rsidR="006D56A4" w:rsidRDefault="009B5846">
      <w:pPr>
        <w:pStyle w:val="ListParagraph"/>
        <w:numPr>
          <w:ilvl w:val="0"/>
          <w:numId w:val="2"/>
        </w:numPr>
        <w:spacing w:after="100" w:line="290" w:lineRule="auto"/>
        <w:jc w:val="both"/>
      </w:pPr>
      <w:r>
        <w:t>Void for vagueness: A penal provision that fails to define the conduct it prohibits with reasonable clarity denies citizens fair notice of what is lawful and unlawful, and vests excessive, arbitrary discretion in enforcement authorities; the Court found Section 66A's key terms so vague that this doctrine applied squarely to invalidate it, and applied the same reasoning to strike down the near-identical Section 118(d) of the Kerala Police Act.</w:t>
      </w:r>
    </w:p>
    <w:p w14:paraId="350929D5" w14:textId="77777777" w:rsidR="006D56A4" w:rsidRDefault="009B5846">
      <w:pPr>
        <w:pStyle w:val="ListParagraph"/>
        <w:numPr>
          <w:ilvl w:val="0"/>
          <w:numId w:val="2"/>
        </w:numPr>
        <w:spacing w:after="100" w:line="290" w:lineRule="auto"/>
        <w:jc w:val="both"/>
      </w:pPr>
      <w:r>
        <w:t>Overbreadth: Independent of vagueness, the Court found that Section 66A swept within its scope a very large amount of protected and entirely innocent speech alongside any speech that might genuinely warrant restriction, making the provision overbroad regardless of how precisely its terms might otherwise be defined.</w:t>
      </w:r>
    </w:p>
    <w:p w14:paraId="3B969F47" w14:textId="77777777" w:rsidR="006D56A4" w:rsidRDefault="009B5846">
      <w:pPr>
        <w:pStyle w:val="ListParagraph"/>
        <w:numPr>
          <w:ilvl w:val="0"/>
          <w:numId w:val="2"/>
        </w:numPr>
        <w:spacing w:after="100" w:line="290" w:lineRule="auto"/>
        <w:jc w:val="both"/>
      </w:pPr>
      <w:r>
        <w:lastRenderedPageBreak/>
        <w:t>The chilling effect: The Court recognised that an overbroad speech-restricting law can deter citizens from exercising their right to free expression altogether, out of fear of prosecution, even where their intended speech would ultimately have been found lawful; this deterrence is itself a constitutional harm, justifying invalidation of the law rather than waiting for case-by-case correction through litigation.</w:t>
      </w:r>
    </w:p>
    <w:p w14:paraId="1C694AE6" w14:textId="77777777" w:rsidR="006D56A4" w:rsidRDefault="009B5846">
      <w:pPr>
        <w:spacing w:after="160" w:line="300" w:lineRule="auto"/>
        <w:jc w:val="both"/>
      </w:pPr>
      <w:r>
        <w:t>Together, these doctrines explain why the Court chose to strike down Section 66A in its entirety rather than adopt a narrower, case-specific remedy: a vague and overbroad criminal provision threatens free speech not only through its actual enforcement, but through the self-censorship it induces in ordinary citizens uncertain of where the line lies.</w:t>
      </w:r>
    </w:p>
    <w:p w14:paraId="0E6B26CF" w14:textId="77777777" w:rsidR="006D56A4" w:rsidRDefault="009B5846">
      <w:pPr>
        <w:pStyle w:val="Heading1"/>
        <w:spacing w:before="320" w:after="160"/>
      </w:pPr>
      <w:r>
        <w:rPr>
          <w:b/>
          <w:bCs/>
          <w:color w:val="000000"/>
          <w:sz w:val="28"/>
          <w:szCs w:val="28"/>
        </w:rPr>
        <w:t>6. Business Relevance</w:t>
      </w:r>
    </w:p>
    <w:p w14:paraId="3FBC9117" w14:textId="77777777" w:rsidR="006D56A4" w:rsidRDefault="009B5846">
      <w:pPr>
        <w:pStyle w:val="Heading2"/>
        <w:spacing w:before="220" w:after="120"/>
      </w:pPr>
      <w:r>
        <w:rPr>
          <w:b/>
          <w:bCs/>
          <w:color w:val="000000"/>
          <w:sz w:val="24"/>
          <w:szCs w:val="24"/>
        </w:rPr>
        <w:t>6.1 Application in Modern Business</w:t>
      </w:r>
    </w:p>
    <w:p w14:paraId="4016FA8B" w14:textId="77777777" w:rsidR="006D56A4" w:rsidRDefault="009B5846">
      <w:pPr>
        <w:spacing w:after="160" w:line="300" w:lineRule="auto"/>
        <w:jc w:val="both"/>
      </w:pPr>
      <w:r>
        <w:t>Although decided in the context of individual arrests over social media posts, Shreya Singhal continues to shape how technology platforms, media companies, and regulators operate in India:</w:t>
      </w:r>
    </w:p>
    <w:p w14:paraId="4C968282" w14:textId="77777777" w:rsidR="006D56A4" w:rsidRDefault="009B5846">
      <w:pPr>
        <w:pStyle w:val="ListParagraph"/>
        <w:numPr>
          <w:ilvl w:val="0"/>
          <w:numId w:val="2"/>
        </w:numPr>
        <w:spacing w:after="100" w:line="290" w:lineRule="auto"/>
        <w:jc w:val="both"/>
      </w:pPr>
      <w:r>
        <w:t>Social media and content platforms: The judgment's reading down of Section 79 directly shapes how platforms such as Facebook, X (formerly Twitter), and YouTube handle takedown requests in India, requiring intermediaries to act on actual knowledge through a court order or government notification rather than any private complaint, protecting platforms from being pressured into arbitrary censorship.</w:t>
      </w:r>
    </w:p>
    <w:p w14:paraId="4519912A" w14:textId="77777777" w:rsidR="006D56A4" w:rsidRDefault="009B5846">
      <w:pPr>
        <w:pStyle w:val="ListParagraph"/>
        <w:numPr>
          <w:ilvl w:val="0"/>
          <w:numId w:val="2"/>
        </w:numPr>
        <w:spacing w:after="100" w:line="290" w:lineRule="auto"/>
        <w:jc w:val="both"/>
      </w:pPr>
      <w:r>
        <w:t>E-commerce and digital communication services: Businesses operating messaging, review, and communication features on their platforms benefit from the certainty that users cannot be prosecuted under an overbroad, vague standard merely for posting critical or unpopular content, reducing the platform's own exposure to disputes over user-generated content.</w:t>
      </w:r>
    </w:p>
    <w:p w14:paraId="00E2CD3B" w14:textId="77777777" w:rsidR="006D56A4" w:rsidRDefault="009B5846">
      <w:pPr>
        <w:pStyle w:val="ListParagraph"/>
        <w:numPr>
          <w:ilvl w:val="0"/>
          <w:numId w:val="2"/>
        </w:numPr>
        <w:spacing w:after="100" w:line="290" w:lineRule="auto"/>
        <w:jc w:val="both"/>
      </w:pPr>
      <w:r>
        <w:t>Media and digital publishing: News organisations and digital publishers rely on the discussion/advocacy/incitement framework established in this case to assess the legal risk of publishing opinion pieces, satire, and critical commentary online.</w:t>
      </w:r>
    </w:p>
    <w:p w14:paraId="17E8032A" w14:textId="77777777" w:rsidR="006D56A4" w:rsidRDefault="009B5846">
      <w:pPr>
        <w:pStyle w:val="ListParagraph"/>
        <w:numPr>
          <w:ilvl w:val="0"/>
          <w:numId w:val="2"/>
        </w:numPr>
        <w:spacing w:after="100" w:line="290" w:lineRule="auto"/>
        <w:jc w:val="both"/>
      </w:pPr>
      <w:r>
        <w:t>Technology policy and regulatory compliance: The judgment remains a key reference point whenever new legislation or rules are proposed to regulate online speech or intermediary conduct in India — including at the state level, as the subsequent striking down of Section 118(d) of the Kerala Police Act demonstrates — since any provision that risks the same vagueness or overbreadth found in Section 66A remains vulnerable to constitutional challenge on the same grounds.</w:t>
      </w:r>
    </w:p>
    <w:p w14:paraId="3ACE149D" w14:textId="77777777" w:rsidR="006D56A4" w:rsidRDefault="009B5846">
      <w:pPr>
        <w:pStyle w:val="Heading2"/>
        <w:spacing w:before="220" w:after="120"/>
      </w:pPr>
      <w:r>
        <w:rPr>
          <w:b/>
          <w:bCs/>
          <w:color w:val="000000"/>
          <w:sz w:val="24"/>
          <w:szCs w:val="24"/>
        </w:rPr>
        <w:t>6.2 Risk Management &amp; Operational Compliance</w:t>
      </w:r>
    </w:p>
    <w:p w14:paraId="0EF98C6A" w14:textId="77777777" w:rsidR="006D56A4" w:rsidRDefault="009B5846">
      <w:pPr>
        <w:spacing w:after="160" w:line="300" w:lineRule="auto"/>
        <w:jc w:val="both"/>
      </w:pPr>
      <w:r>
        <w:t>The judgment offers several enduring, practical lessons for businesses, platforms, and policymakers operating in the digital space:</w:t>
      </w:r>
    </w:p>
    <w:p w14:paraId="168C7150" w14:textId="77777777" w:rsidR="006D56A4" w:rsidRDefault="009B5846">
      <w:pPr>
        <w:pStyle w:val="ListParagraph"/>
        <w:numPr>
          <w:ilvl w:val="0"/>
          <w:numId w:val="2"/>
        </w:numPr>
        <w:spacing w:after="100" w:line="290" w:lineRule="auto"/>
        <w:jc w:val="both"/>
      </w:pPr>
      <w:r>
        <w:lastRenderedPageBreak/>
        <w:t>Insist on precise legal definitions. Businesses advising on or complying with speech-related regulation should scrutinise whether key terms are clearly defined; vague standards create unpredictable compliance risk, as Section 66A demonstrated for ordinary users and platforms alike.</w:t>
      </w:r>
    </w:p>
    <w:p w14:paraId="24E3C362" w14:textId="77777777" w:rsidR="006D56A4" w:rsidRDefault="009B5846">
      <w:pPr>
        <w:pStyle w:val="ListParagraph"/>
        <w:numPr>
          <w:ilvl w:val="0"/>
          <w:numId w:val="2"/>
        </w:numPr>
        <w:spacing w:after="100" w:line="290" w:lineRule="auto"/>
        <w:jc w:val="both"/>
      </w:pPr>
      <w:r>
        <w:t>Follow the actual-knowledge standard for content removal. Intermediaries operating in India should structure their content moderation and takedown processes around lawful orders and government notifications, consistent with the reading down of Section 79, rather than acting on unverified private complaints.</w:t>
      </w:r>
    </w:p>
    <w:p w14:paraId="50CB5EB7" w14:textId="77777777" w:rsidR="006D56A4" w:rsidRDefault="009B5846">
      <w:pPr>
        <w:pStyle w:val="ListParagraph"/>
        <w:numPr>
          <w:ilvl w:val="0"/>
          <w:numId w:val="2"/>
        </w:numPr>
        <w:spacing w:after="100" w:line="290" w:lineRule="auto"/>
        <w:jc w:val="both"/>
      </w:pPr>
      <w:r>
        <w:t>Distinguish discussion and advocacy from incitement. Organisations moderating user content, or assessing their own publishing risk, benefit from applying the discussion/advocacy/incitement framework to separate protected expression from content that genuinely incites unlawful conduct.</w:t>
      </w:r>
    </w:p>
    <w:p w14:paraId="24FD83B3" w14:textId="77777777" w:rsidR="006D56A4" w:rsidRDefault="009B5846">
      <w:pPr>
        <w:pStyle w:val="ListParagraph"/>
        <w:numPr>
          <w:ilvl w:val="0"/>
          <w:numId w:val="2"/>
        </w:numPr>
        <w:spacing w:after="100" w:line="290" w:lineRule="auto"/>
        <w:jc w:val="both"/>
      </w:pPr>
      <w:r>
        <w:t>Anticipate constitutional challenge to overbroad rules. Regulators and businesses proposing new speech-related terms of service or compliance frameworks should ensure restrictions are narrowly tailored to specific, recognised harms, since provisions resembling Section 66A's breadth remain constitutionally vulnerable, whether enacted at the central or state level.</w:t>
      </w:r>
    </w:p>
    <w:p w14:paraId="2CB22F1D" w14:textId="77777777" w:rsidR="006D56A4" w:rsidRDefault="009B5846">
      <w:pPr>
        <w:pStyle w:val="ListParagraph"/>
        <w:numPr>
          <w:ilvl w:val="0"/>
          <w:numId w:val="2"/>
        </w:numPr>
        <w:spacing w:after="100" w:line="290" w:lineRule="auto"/>
        <w:jc w:val="both"/>
      </w:pPr>
      <w:r>
        <w:t>Recognise the chilling effect as a real business and reputational risk. Just as vague criminal provisions can deter lawful speech, vague or inconsistently enforced platform policies can deter legitimate user engagement and content creation, making clarity in content policy a matter of both legal and commercial importance.</w:t>
      </w:r>
    </w:p>
    <w:p w14:paraId="4AC63125" w14:textId="77777777" w:rsidR="006D56A4" w:rsidRDefault="009B5846">
      <w:pPr>
        <w:pStyle w:val="Heading1"/>
        <w:spacing w:before="320" w:after="160"/>
      </w:pPr>
      <w:r>
        <w:rPr>
          <w:b/>
          <w:bCs/>
          <w:color w:val="000000"/>
          <w:sz w:val="28"/>
          <w:szCs w:val="28"/>
        </w:rPr>
        <w:t>7. Conclusion</w:t>
      </w:r>
    </w:p>
    <w:p w14:paraId="30582877" w14:textId="77777777" w:rsidR="006D56A4" w:rsidRDefault="009B5846">
      <w:pPr>
        <w:pStyle w:val="Heading2"/>
        <w:spacing w:before="220" w:after="120"/>
      </w:pPr>
      <w:r>
        <w:rPr>
          <w:b/>
          <w:bCs/>
          <w:color w:val="000000"/>
          <w:sz w:val="24"/>
          <w:szCs w:val="24"/>
        </w:rPr>
        <w:t>7.1 Personal Learning and Observations</w:t>
      </w:r>
    </w:p>
    <w:p w14:paraId="411536C5" w14:textId="77777777" w:rsidR="006D56A4" w:rsidRDefault="009B5846">
      <w:pPr>
        <w:spacing w:after="160" w:line="300" w:lineRule="auto"/>
        <w:jc w:val="both"/>
      </w:pPr>
      <w:r>
        <w:t>Shreya Singhal v Union of India endures as a landmark case, often described as a Magna Carta for free speech online, not because of the modest facts that gave rise to it, but because the Supreme Court used the arrest of two young women over a Facebook post to articulate, with lasting clarity, the constitutional limits on regulating speech in the digital age.</w:t>
      </w:r>
    </w:p>
    <w:p w14:paraId="65E2FFBA" w14:textId="77777777" w:rsidR="006D56A4" w:rsidRDefault="009B5846">
      <w:pPr>
        <w:pStyle w:val="ListParagraph"/>
        <w:numPr>
          <w:ilvl w:val="0"/>
          <w:numId w:val="2"/>
        </w:numPr>
        <w:spacing w:after="100" w:line="290" w:lineRule="auto"/>
        <w:jc w:val="both"/>
      </w:pPr>
      <w:r>
        <w:t>The judgment demonstrates how courts test legislation restricting fundamental rights against the specific, enumerated grounds of restriction, refusing to accept a broader justification of public interest or online safety that is not tied to one of the grounds the Constitution itself permits.</w:t>
      </w:r>
    </w:p>
    <w:p w14:paraId="50796C71" w14:textId="77777777" w:rsidR="006D56A4" w:rsidRDefault="009B5846">
      <w:pPr>
        <w:pStyle w:val="ListParagraph"/>
        <w:numPr>
          <w:ilvl w:val="0"/>
          <w:numId w:val="2"/>
        </w:numPr>
        <w:spacing w:after="100" w:line="290" w:lineRule="auto"/>
        <w:jc w:val="both"/>
      </w:pPr>
      <w:r>
        <w:t>A key observation is how the Court treated vagueness, overbreadth, and the chilling effect not as abstract or theoretical concerns, but as independently sufficient grounds for striking down a law — recognising that the mere existence of an unpredictable criminal provision can suppress speech, regardless of how it happens to be enforced in any given case.</w:t>
      </w:r>
    </w:p>
    <w:p w14:paraId="5D421E24" w14:textId="77777777" w:rsidR="006D56A4" w:rsidRDefault="009B5846">
      <w:pPr>
        <w:pStyle w:val="ListParagraph"/>
        <w:numPr>
          <w:ilvl w:val="0"/>
          <w:numId w:val="2"/>
        </w:numPr>
        <w:spacing w:after="100" w:line="290" w:lineRule="auto"/>
        <w:jc w:val="both"/>
      </w:pPr>
      <w:r>
        <w:lastRenderedPageBreak/>
        <w:t>The rejection of the Article 14 challenge is equally instructive: the Court was willing to accept that the internet is a genuinely distinct medium justifying separate legislative treatment, while simultaneously holding that any such separate treatment must still satisfy the ordinary requirements of Article 19(1)(a) and 19(2) — establishing that distinct regulation of the internet is permissible, but not immune from ordinary constitutional scrutiny.</w:t>
      </w:r>
    </w:p>
    <w:p w14:paraId="4C8B24EB" w14:textId="77777777" w:rsidR="006D56A4" w:rsidRDefault="009B5846">
      <w:pPr>
        <w:pStyle w:val="ListParagraph"/>
        <w:numPr>
          <w:ilvl w:val="0"/>
          <w:numId w:val="2"/>
        </w:numPr>
        <w:spacing w:after="100" w:line="290" w:lineRule="auto"/>
        <w:jc w:val="both"/>
      </w:pPr>
      <w:r>
        <w:t>The case's treatment of intermediary liability under Section 79 has proved just as consequential in practice as its treatment of Section 66A, shielding online platforms from being turned into private censors answerable to any complainant, while still preserving lawful mechanisms for content to be removed.</w:t>
      </w:r>
    </w:p>
    <w:p w14:paraId="11141D0C" w14:textId="77777777" w:rsidR="006D56A4" w:rsidRDefault="009B5846">
      <w:pPr>
        <w:spacing w:after="160" w:line="300" w:lineRule="auto"/>
        <w:jc w:val="both"/>
      </w:pPr>
      <w:r>
        <w:t>For any student or practitioner of constitutional law, Shreya Singhal offers a compact but complete illustration of how India's courts safeguard freedom of speech and expression against vague and overbroad legislation, and of why precision in drafting speech-related laws is not a mere technicality but a constitutional necessity.</w:t>
      </w:r>
    </w:p>
    <w:p w14:paraId="4BAB0863" w14:textId="77777777" w:rsidR="006D56A4" w:rsidRDefault="009B5846">
      <w:pPr>
        <w:pStyle w:val="Heading2"/>
        <w:spacing w:before="220" w:after="120"/>
      </w:pPr>
      <w:r>
        <w:rPr>
          <w:b/>
          <w:bCs/>
          <w:color w:val="000000"/>
          <w:sz w:val="24"/>
          <w:szCs w:val="24"/>
        </w:rPr>
        <w:t>IRAC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7480"/>
      </w:tblGrid>
      <w:tr w:rsidR="006D56A4" w14:paraId="2C03B6A4" w14:textId="77777777">
        <w:tblPrEx>
          <w:tblCellMar>
            <w:top w:w="0" w:type="dxa"/>
            <w:bottom w:w="0" w:type="dxa"/>
          </w:tblCellMar>
        </w:tblPrEx>
        <w:trPr>
          <w:tblHeader/>
        </w:trPr>
        <w:tc>
          <w:tcPr>
            <w:tcW w:w="1000" w:type="pct"/>
            <w:shd w:val="clear" w:color="auto" w:fill="D9D9D9"/>
            <w:tcMar>
              <w:top w:w="100" w:type="dxa"/>
              <w:left w:w="120" w:type="dxa"/>
              <w:bottom w:w="100" w:type="dxa"/>
              <w:right w:w="120" w:type="dxa"/>
            </w:tcMar>
            <w:vAlign w:val="center"/>
          </w:tcPr>
          <w:p w14:paraId="7B6D8C30" w14:textId="77777777" w:rsidR="006D56A4" w:rsidRDefault="009B5846">
            <w:r>
              <w:rPr>
                <w:b/>
                <w:bCs/>
              </w:rPr>
              <w:t>Element</w:t>
            </w:r>
          </w:p>
        </w:tc>
        <w:tc>
          <w:tcPr>
            <w:tcW w:w="1000" w:type="pct"/>
            <w:shd w:val="clear" w:color="auto" w:fill="D9D9D9"/>
            <w:tcMar>
              <w:top w:w="100" w:type="dxa"/>
              <w:left w:w="120" w:type="dxa"/>
              <w:bottom w:w="100" w:type="dxa"/>
              <w:right w:w="120" w:type="dxa"/>
            </w:tcMar>
            <w:vAlign w:val="center"/>
          </w:tcPr>
          <w:p w14:paraId="34A7FF8E" w14:textId="77777777" w:rsidR="006D56A4" w:rsidRDefault="009B5846">
            <w:r>
              <w:rPr>
                <w:b/>
                <w:bCs/>
              </w:rPr>
              <w:t>Application to Shreya Singhal v Union of India</w:t>
            </w:r>
          </w:p>
        </w:tc>
      </w:tr>
      <w:tr w:rsidR="006D56A4" w14:paraId="46B2946C" w14:textId="77777777">
        <w:tblPrEx>
          <w:tblCellMar>
            <w:top w:w="0" w:type="dxa"/>
            <w:bottom w:w="0" w:type="dxa"/>
          </w:tblCellMar>
        </w:tblPrEx>
        <w:tc>
          <w:tcPr>
            <w:tcW w:w="1000" w:type="pct"/>
            <w:shd w:val="clear" w:color="auto" w:fill="D9D9D9"/>
            <w:tcMar>
              <w:top w:w="100" w:type="dxa"/>
              <w:left w:w="120" w:type="dxa"/>
              <w:bottom w:w="100" w:type="dxa"/>
              <w:right w:w="120" w:type="dxa"/>
            </w:tcMar>
            <w:vAlign w:val="center"/>
          </w:tcPr>
          <w:p w14:paraId="25827311" w14:textId="77777777" w:rsidR="006D56A4" w:rsidRDefault="009B5846">
            <w:r>
              <w:rPr>
                <w:b/>
                <w:bCs/>
              </w:rPr>
              <w:t>Issue</w:t>
            </w:r>
          </w:p>
        </w:tc>
        <w:tc>
          <w:tcPr>
            <w:tcW w:w="4000" w:type="pct"/>
            <w:tcMar>
              <w:top w:w="100" w:type="dxa"/>
              <w:left w:w="120" w:type="dxa"/>
              <w:bottom w:w="100" w:type="dxa"/>
              <w:right w:w="120" w:type="dxa"/>
            </w:tcMar>
          </w:tcPr>
          <w:p w14:paraId="18852394" w14:textId="77777777" w:rsidR="006D56A4" w:rsidRDefault="009B5846">
            <w:pPr>
              <w:jc w:val="both"/>
            </w:pPr>
            <w:r>
              <w:t>Does Section 66A of the Information Technology Act, 2000, violate the freedom of speech and expression guaranteed under Article 19(1)(a) of the Constitution of India?</w:t>
            </w:r>
          </w:p>
        </w:tc>
      </w:tr>
      <w:tr w:rsidR="006D56A4" w14:paraId="7980AA78" w14:textId="77777777">
        <w:tblPrEx>
          <w:tblCellMar>
            <w:top w:w="0" w:type="dxa"/>
            <w:bottom w:w="0" w:type="dxa"/>
          </w:tblCellMar>
        </w:tblPrEx>
        <w:tc>
          <w:tcPr>
            <w:tcW w:w="1000" w:type="pct"/>
            <w:shd w:val="clear" w:color="auto" w:fill="D9D9D9"/>
            <w:tcMar>
              <w:top w:w="100" w:type="dxa"/>
              <w:left w:w="120" w:type="dxa"/>
              <w:bottom w:w="100" w:type="dxa"/>
              <w:right w:w="120" w:type="dxa"/>
            </w:tcMar>
            <w:vAlign w:val="center"/>
          </w:tcPr>
          <w:p w14:paraId="4BF4BACA" w14:textId="77777777" w:rsidR="006D56A4" w:rsidRDefault="009B5846">
            <w:r>
              <w:rPr>
                <w:b/>
                <w:bCs/>
              </w:rPr>
              <w:t>Rule</w:t>
            </w:r>
          </w:p>
        </w:tc>
        <w:tc>
          <w:tcPr>
            <w:tcW w:w="4000" w:type="pct"/>
            <w:tcMar>
              <w:top w:w="100" w:type="dxa"/>
              <w:left w:w="120" w:type="dxa"/>
              <w:bottom w:w="100" w:type="dxa"/>
              <w:right w:w="120" w:type="dxa"/>
            </w:tcMar>
          </w:tcPr>
          <w:p w14:paraId="06AEC322" w14:textId="77777777" w:rsidR="006D56A4" w:rsidRDefault="009B5846">
            <w:pPr>
              <w:jc w:val="both"/>
            </w:pPr>
            <w:r>
              <w:t>Restrictions on free speech are valid only if they fall within one of the specific grounds listed in Article 19(2); a law that is vague, overbroad, or has a chilling effect on protected discussion and advocacy cannot be sustained as a reasonable restriction.</w:t>
            </w:r>
          </w:p>
        </w:tc>
      </w:tr>
      <w:tr w:rsidR="006D56A4" w14:paraId="2A09FE6D" w14:textId="77777777">
        <w:tblPrEx>
          <w:tblCellMar>
            <w:top w:w="0" w:type="dxa"/>
            <w:bottom w:w="0" w:type="dxa"/>
          </w:tblCellMar>
        </w:tblPrEx>
        <w:tc>
          <w:tcPr>
            <w:tcW w:w="1000" w:type="pct"/>
            <w:shd w:val="clear" w:color="auto" w:fill="D9D9D9"/>
            <w:tcMar>
              <w:top w:w="100" w:type="dxa"/>
              <w:left w:w="120" w:type="dxa"/>
              <w:bottom w:w="100" w:type="dxa"/>
              <w:right w:w="120" w:type="dxa"/>
            </w:tcMar>
            <w:vAlign w:val="center"/>
          </w:tcPr>
          <w:p w14:paraId="5818A37F" w14:textId="77777777" w:rsidR="006D56A4" w:rsidRDefault="009B5846">
            <w:r>
              <w:rPr>
                <w:b/>
                <w:bCs/>
              </w:rPr>
              <w:t>Application</w:t>
            </w:r>
          </w:p>
        </w:tc>
        <w:tc>
          <w:tcPr>
            <w:tcW w:w="4000" w:type="pct"/>
            <w:tcMar>
              <w:top w:w="100" w:type="dxa"/>
              <w:left w:w="120" w:type="dxa"/>
              <w:bottom w:w="100" w:type="dxa"/>
              <w:right w:w="120" w:type="dxa"/>
            </w:tcMar>
          </w:tcPr>
          <w:p w14:paraId="44451A2D" w14:textId="77777777" w:rsidR="006D56A4" w:rsidRDefault="009B5846">
            <w:pPr>
              <w:jc w:val="both"/>
            </w:pPr>
            <w:r>
              <w:t>Section 66A criminalised sending 'grossly offensive' or 'annoying' messages using undefined, subjective terms with no proximate connection to public order, defamation, incitement, or any other Article 19(2) ground, as illustrated by the arrest of two women for a Facebook post that was, at most, political discussion.</w:t>
            </w:r>
          </w:p>
        </w:tc>
      </w:tr>
      <w:tr w:rsidR="006D56A4" w14:paraId="2017BEB5" w14:textId="77777777">
        <w:tblPrEx>
          <w:tblCellMar>
            <w:top w:w="0" w:type="dxa"/>
            <w:bottom w:w="0" w:type="dxa"/>
          </w:tblCellMar>
        </w:tblPrEx>
        <w:tc>
          <w:tcPr>
            <w:tcW w:w="1000" w:type="pct"/>
            <w:shd w:val="clear" w:color="auto" w:fill="D9D9D9"/>
            <w:tcMar>
              <w:top w:w="100" w:type="dxa"/>
              <w:left w:w="120" w:type="dxa"/>
              <w:bottom w:w="100" w:type="dxa"/>
              <w:right w:w="120" w:type="dxa"/>
            </w:tcMar>
            <w:vAlign w:val="center"/>
          </w:tcPr>
          <w:p w14:paraId="5C725969" w14:textId="77777777" w:rsidR="006D56A4" w:rsidRDefault="009B5846">
            <w:r>
              <w:rPr>
                <w:b/>
                <w:bCs/>
              </w:rPr>
              <w:t>Conclusion</w:t>
            </w:r>
          </w:p>
        </w:tc>
        <w:tc>
          <w:tcPr>
            <w:tcW w:w="4000" w:type="pct"/>
            <w:tcMar>
              <w:top w:w="100" w:type="dxa"/>
              <w:left w:w="120" w:type="dxa"/>
              <w:bottom w:w="100" w:type="dxa"/>
              <w:right w:w="120" w:type="dxa"/>
            </w:tcMar>
          </w:tcPr>
          <w:p w14:paraId="29DD0BBB" w14:textId="77777777" w:rsidR="006D56A4" w:rsidRDefault="009B5846">
            <w:pPr>
              <w:jc w:val="both"/>
            </w:pPr>
            <w:r>
              <w:t>Section 66A was declared unconstitutional and struck down in its entirety, along with Section 118(d) of the Kerala Police Act. Section 69A was upheld with safeguards, and Section 79 was read down to require actual knowledge through a court order or government notification before content could be removed.</w:t>
            </w:r>
          </w:p>
        </w:tc>
      </w:tr>
    </w:tbl>
    <w:p w14:paraId="49FBDAF4" w14:textId="77777777" w:rsidR="009B5846" w:rsidRDefault="009B5846"/>
    <w:sectPr w:rsidR="009B584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42E7" w14:textId="77777777" w:rsidR="009B5846" w:rsidRDefault="009B5846">
      <w:r>
        <w:separator/>
      </w:r>
    </w:p>
  </w:endnote>
  <w:endnote w:type="continuationSeparator" w:id="0">
    <w:p w14:paraId="6FCE2A38" w14:textId="77777777" w:rsidR="009B5846" w:rsidRDefault="009B5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D332" w14:textId="77777777" w:rsidR="006D56A4" w:rsidRDefault="009B5846">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7017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DAD7" w14:textId="77777777" w:rsidR="009B5846" w:rsidRDefault="009B5846">
      <w:r>
        <w:separator/>
      </w:r>
    </w:p>
  </w:footnote>
  <w:footnote w:type="continuationSeparator" w:id="0">
    <w:p w14:paraId="01FBD321" w14:textId="77777777" w:rsidR="009B5846" w:rsidRDefault="009B5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7488" w14:textId="77777777" w:rsidR="006D56A4" w:rsidRDefault="009B5846">
    <w:pPr>
      <w:jc w:val="right"/>
    </w:pPr>
    <w:r>
      <w:rPr>
        <w:i/>
        <w:iCs/>
        <w:color w:val="555555"/>
        <w:sz w:val="16"/>
        <w:szCs w:val="16"/>
      </w:rPr>
      <w:t>Shreya Singhal v Union of India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623E3"/>
    <w:multiLevelType w:val="hybridMultilevel"/>
    <w:tmpl w:val="DDAA63B0"/>
    <w:lvl w:ilvl="0" w:tplc="F79471DA">
      <w:start w:val="1"/>
      <w:numFmt w:val="bullet"/>
      <w:lvlText w:val="•"/>
      <w:lvlJc w:val="left"/>
      <w:pPr>
        <w:ind w:left="540" w:hanging="260"/>
      </w:pPr>
      <w:rPr>
        <w:rFonts w:ascii="Times New Roman" w:eastAsia="Times New Roman" w:hAnsi="Times New Roman" w:cs="Times New Roman"/>
      </w:rPr>
    </w:lvl>
    <w:lvl w:ilvl="1" w:tplc="55B42E68">
      <w:numFmt w:val="decimal"/>
      <w:lvlText w:val=""/>
      <w:lvlJc w:val="left"/>
    </w:lvl>
    <w:lvl w:ilvl="2" w:tplc="DB525326">
      <w:numFmt w:val="decimal"/>
      <w:lvlText w:val=""/>
      <w:lvlJc w:val="left"/>
    </w:lvl>
    <w:lvl w:ilvl="3" w:tplc="65D286A2">
      <w:numFmt w:val="decimal"/>
      <w:lvlText w:val=""/>
      <w:lvlJc w:val="left"/>
    </w:lvl>
    <w:lvl w:ilvl="4" w:tplc="7A22DC74">
      <w:numFmt w:val="decimal"/>
      <w:lvlText w:val=""/>
      <w:lvlJc w:val="left"/>
    </w:lvl>
    <w:lvl w:ilvl="5" w:tplc="D4D47490">
      <w:numFmt w:val="decimal"/>
      <w:lvlText w:val=""/>
      <w:lvlJc w:val="left"/>
    </w:lvl>
    <w:lvl w:ilvl="6" w:tplc="2E0CCEFE">
      <w:numFmt w:val="decimal"/>
      <w:lvlText w:val=""/>
      <w:lvlJc w:val="left"/>
    </w:lvl>
    <w:lvl w:ilvl="7" w:tplc="8F60D918">
      <w:numFmt w:val="decimal"/>
      <w:lvlText w:val=""/>
      <w:lvlJc w:val="left"/>
    </w:lvl>
    <w:lvl w:ilvl="8" w:tplc="1EB6B2A8">
      <w:numFmt w:val="decimal"/>
      <w:lvlText w:val=""/>
      <w:lvlJc w:val="left"/>
    </w:lvl>
  </w:abstractNum>
  <w:abstractNum w:abstractNumId="1" w15:restartNumberingAfterBreak="0">
    <w:nsid w:val="768642D2"/>
    <w:multiLevelType w:val="hybridMultilevel"/>
    <w:tmpl w:val="A0A687DC"/>
    <w:lvl w:ilvl="0" w:tplc="AA9CC86C">
      <w:start w:val="1"/>
      <w:numFmt w:val="bullet"/>
      <w:lvlText w:val="●"/>
      <w:lvlJc w:val="left"/>
      <w:pPr>
        <w:ind w:left="720" w:hanging="360"/>
      </w:pPr>
    </w:lvl>
    <w:lvl w:ilvl="1" w:tplc="887C8146">
      <w:start w:val="1"/>
      <w:numFmt w:val="bullet"/>
      <w:lvlText w:val="○"/>
      <w:lvlJc w:val="left"/>
      <w:pPr>
        <w:ind w:left="1440" w:hanging="360"/>
      </w:pPr>
    </w:lvl>
    <w:lvl w:ilvl="2" w:tplc="02EEAAC4">
      <w:start w:val="1"/>
      <w:numFmt w:val="bullet"/>
      <w:lvlText w:val="■"/>
      <w:lvlJc w:val="left"/>
      <w:pPr>
        <w:ind w:left="2160" w:hanging="360"/>
      </w:pPr>
    </w:lvl>
    <w:lvl w:ilvl="3" w:tplc="90C0BD7C">
      <w:start w:val="1"/>
      <w:numFmt w:val="bullet"/>
      <w:lvlText w:val="●"/>
      <w:lvlJc w:val="left"/>
      <w:pPr>
        <w:ind w:left="2880" w:hanging="360"/>
      </w:pPr>
    </w:lvl>
    <w:lvl w:ilvl="4" w:tplc="B5F4D6CE">
      <w:start w:val="1"/>
      <w:numFmt w:val="bullet"/>
      <w:lvlText w:val="○"/>
      <w:lvlJc w:val="left"/>
      <w:pPr>
        <w:ind w:left="3600" w:hanging="360"/>
      </w:pPr>
    </w:lvl>
    <w:lvl w:ilvl="5" w:tplc="180A7FD2">
      <w:start w:val="1"/>
      <w:numFmt w:val="bullet"/>
      <w:lvlText w:val="■"/>
      <w:lvlJc w:val="left"/>
      <w:pPr>
        <w:ind w:left="4320" w:hanging="360"/>
      </w:pPr>
    </w:lvl>
    <w:lvl w:ilvl="6" w:tplc="037053C2">
      <w:start w:val="1"/>
      <w:numFmt w:val="bullet"/>
      <w:lvlText w:val="●"/>
      <w:lvlJc w:val="left"/>
      <w:pPr>
        <w:ind w:left="5040" w:hanging="360"/>
      </w:pPr>
    </w:lvl>
    <w:lvl w:ilvl="7" w:tplc="C5549DFA">
      <w:start w:val="1"/>
      <w:numFmt w:val="bullet"/>
      <w:lvlText w:val="●"/>
      <w:lvlJc w:val="left"/>
      <w:pPr>
        <w:ind w:left="5760" w:hanging="360"/>
      </w:pPr>
    </w:lvl>
    <w:lvl w:ilvl="8" w:tplc="0AB87126">
      <w:start w:val="1"/>
      <w:numFmt w:val="bullet"/>
      <w:lvlText w:val="●"/>
      <w:lvlJc w:val="left"/>
      <w:pPr>
        <w:ind w:left="6480" w:hanging="360"/>
      </w:pPr>
    </w:lvl>
  </w:abstractNum>
  <w:num w:numId="1" w16cid:durableId="457797479">
    <w:abstractNumId w:val="1"/>
    <w:lvlOverride w:ilvl="0">
      <w:startOverride w:val="1"/>
    </w:lvlOverride>
  </w:num>
  <w:num w:numId="2" w16cid:durableId="650406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6A4"/>
    <w:rsid w:val="0011603C"/>
    <w:rsid w:val="006D56A4"/>
    <w:rsid w:val="009B5846"/>
    <w:rsid w:val="00C70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E803"/>
  <w15:docId w15:val="{2DC4A71A-BB7A-4A26-AA66-40AD979B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3997</Words>
  <Characters>22783</Characters>
  <Application>Microsoft Office Word</Application>
  <DocSecurity>0</DocSecurity>
  <Lines>189</Lines>
  <Paragraphs>53</Paragraphs>
  <ScaleCrop>false</ScaleCrop>
  <Company/>
  <LinksUpToDate>false</LinksUpToDate>
  <CharactersWithSpaces>26727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2</cp:revision>
  <dcterms:created xsi:type="dcterms:W3CDTF">2026-09-24T18:04:00Z</dcterms:created>
  <dcterms:modified xsi:type="dcterms:W3CDTF">2026-09-24T18:04:00Z</dcterms:modified>
</cp:coreProperties>
</file>