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10B5" w14:textId="77777777" w:rsidR="007A5A97" w:rsidRDefault="007A5A97">
      <w:pPr>
        <w:spacing w:before="1600"/>
      </w:pPr>
    </w:p>
    <w:p w14:paraId="7DF4C0BF" w14:textId="77777777" w:rsidR="007A5A97" w:rsidRDefault="00C00F5F">
      <w:pPr>
        <w:spacing w:after="240"/>
        <w:jc w:val="center"/>
      </w:pPr>
      <w:r>
        <w:rPr>
          <w:b/>
          <w:bCs/>
          <w:sz w:val="32"/>
          <w:szCs w:val="32"/>
        </w:rPr>
        <w:t>CASE ANALYSIS REPORT</w:t>
      </w:r>
    </w:p>
    <w:p w14:paraId="31936D27" w14:textId="77777777" w:rsidR="007A5A97" w:rsidRDefault="00C00F5F">
      <w:pPr>
        <w:spacing w:after="3600"/>
        <w:jc w:val="center"/>
      </w:pPr>
      <w:r>
        <w:rPr>
          <w:b/>
          <w:bCs/>
          <w:i/>
          <w:iCs/>
          <w:sz w:val="28"/>
          <w:szCs w:val="28"/>
        </w:rPr>
        <w:t>Salomon v A Salomon &amp; Co Ltd [1897] AC 22</w:t>
      </w:r>
    </w:p>
    <w:p w14:paraId="7FCF3E1E" w14:textId="77777777" w:rsidR="007A5A97" w:rsidRDefault="00C00F5F">
      <w:pPr>
        <w:spacing w:after="220"/>
        <w:jc w:val="center"/>
      </w:pPr>
      <w:r>
        <w:t>Student Name: Manoj Kumar K</w:t>
      </w:r>
    </w:p>
    <w:p w14:paraId="4C8EF3A4" w14:textId="77777777" w:rsidR="007A5A97" w:rsidRDefault="00C00F5F">
      <w:pPr>
        <w:spacing w:after="220"/>
        <w:jc w:val="center"/>
      </w:pPr>
      <w:r>
        <w:t>Register Number: 5272510210</w:t>
      </w:r>
    </w:p>
    <w:p w14:paraId="7B391F80" w14:textId="01A1DBD8" w:rsidR="007A5A97" w:rsidRDefault="00C00F5F">
      <w:pPr>
        <w:spacing w:after="220"/>
        <w:jc w:val="center"/>
      </w:pPr>
      <w:r>
        <w:t>Title: Case Analysis — Salomon v Salomon (1897)</w:t>
      </w:r>
    </w:p>
    <w:p w14:paraId="597A79A5" w14:textId="77777777" w:rsidR="007A5A97" w:rsidRDefault="00C00F5F">
      <w:r>
        <w:br w:type="page"/>
      </w:r>
    </w:p>
    <w:p w14:paraId="4A998A6E" w14:textId="77777777" w:rsidR="007A5A97" w:rsidRDefault="007A5A97">
      <w:pPr>
        <w:sectPr w:rsidR="007A5A97">
          <w:pgSz w:w="12240" w:h="15840"/>
          <w:pgMar w:top="1440" w:right="1440" w:bottom="1440" w:left="1440" w:header="708" w:footer="708" w:gutter="0"/>
          <w:cols w:space="720"/>
          <w:docGrid w:linePitch="360"/>
        </w:sectPr>
      </w:pPr>
    </w:p>
    <w:p w14:paraId="7F606F7B" w14:textId="77777777" w:rsidR="007A5A97" w:rsidRDefault="00C00F5F">
      <w:pPr>
        <w:pStyle w:val="Heading1"/>
        <w:spacing w:before="320" w:after="160"/>
      </w:pPr>
      <w:r>
        <w:rPr>
          <w:b/>
          <w:bCs/>
          <w:color w:val="000000"/>
          <w:sz w:val="28"/>
          <w:szCs w:val="28"/>
        </w:rPr>
        <w:lastRenderedPageBreak/>
        <w:t>1. Introduction</w:t>
      </w:r>
    </w:p>
    <w:p w14:paraId="31A1B380" w14:textId="77777777" w:rsidR="007A5A97" w:rsidRDefault="00C00F5F">
      <w:pPr>
        <w:pStyle w:val="Heading2"/>
        <w:spacing w:before="220" w:after="120"/>
      </w:pPr>
      <w:r>
        <w:rPr>
          <w:b/>
          <w:bCs/>
          <w:color w:val="000000"/>
          <w:sz w:val="24"/>
          <w:szCs w:val="24"/>
        </w:rPr>
        <w:t>1.1 Case Citation &amp; Jurisdiction</w:t>
      </w:r>
    </w:p>
    <w:p w14:paraId="23700C0B" w14:textId="77777777" w:rsidR="007A5A97" w:rsidRDefault="00C00F5F">
      <w:pPr>
        <w:pStyle w:val="ListParagraph"/>
        <w:numPr>
          <w:ilvl w:val="0"/>
          <w:numId w:val="2"/>
        </w:numPr>
        <w:spacing w:after="100" w:line="290" w:lineRule="auto"/>
        <w:jc w:val="both"/>
      </w:pPr>
      <w:r>
        <w:t>Case Name: Salomon v A Salomon &amp; Co Ltd</w:t>
      </w:r>
    </w:p>
    <w:p w14:paraId="1C8AD3F8" w14:textId="77777777" w:rsidR="007A5A97" w:rsidRDefault="00C00F5F">
      <w:pPr>
        <w:pStyle w:val="ListParagraph"/>
        <w:numPr>
          <w:ilvl w:val="0"/>
          <w:numId w:val="2"/>
        </w:numPr>
        <w:spacing w:after="100" w:line="290" w:lineRule="auto"/>
        <w:jc w:val="both"/>
      </w:pPr>
      <w:r>
        <w:t>Citation: [1897] AC 22</w:t>
      </w:r>
    </w:p>
    <w:p w14:paraId="14F29FFF" w14:textId="77777777" w:rsidR="007A5A97" w:rsidRDefault="00C00F5F">
      <w:pPr>
        <w:pStyle w:val="ListParagraph"/>
        <w:numPr>
          <w:ilvl w:val="0"/>
          <w:numId w:val="2"/>
        </w:numPr>
        <w:spacing w:after="100" w:line="290" w:lineRule="auto"/>
        <w:jc w:val="both"/>
      </w:pPr>
      <w:r>
        <w:t>Court: House of Lords (United Kingdom)</w:t>
      </w:r>
    </w:p>
    <w:p w14:paraId="3AF0B761" w14:textId="77777777" w:rsidR="007A5A97" w:rsidRDefault="00C00F5F">
      <w:pPr>
        <w:pStyle w:val="ListParagraph"/>
        <w:numPr>
          <w:ilvl w:val="0"/>
          <w:numId w:val="2"/>
        </w:numPr>
        <w:spacing w:after="100" w:line="290" w:lineRule="auto"/>
        <w:jc w:val="both"/>
      </w:pPr>
      <w:r>
        <w:t>Bench: Lord Halsbury LC, Lord Watson, Lord Herschell, Lord Macnaghten, Lord Morris, and Lord Davey</w:t>
      </w:r>
    </w:p>
    <w:p w14:paraId="3FB7D17D" w14:textId="77777777" w:rsidR="007A5A97" w:rsidRDefault="00C00F5F">
      <w:pPr>
        <w:pStyle w:val="ListParagraph"/>
        <w:numPr>
          <w:ilvl w:val="0"/>
          <w:numId w:val="2"/>
        </w:numPr>
        <w:spacing w:after="100" w:line="290" w:lineRule="auto"/>
        <w:jc w:val="both"/>
      </w:pPr>
      <w:r>
        <w:t>Year of Judgment: 1897</w:t>
      </w:r>
    </w:p>
    <w:p w14:paraId="09EC8CAB" w14:textId="77777777" w:rsidR="007A5A97" w:rsidRDefault="00C00F5F">
      <w:pPr>
        <w:pStyle w:val="ListParagraph"/>
        <w:numPr>
          <w:ilvl w:val="0"/>
          <w:numId w:val="2"/>
        </w:numPr>
        <w:spacing w:after="100" w:line="290" w:lineRule="auto"/>
        <w:jc w:val="both"/>
      </w:pPr>
      <w:r>
        <w:t>Prior Courts: The trial judge and the Court of Appeal had both ruled against Salomon, holding the company to be a mere agent or trustee for him and requiring him to indemnify the company against its debts; the House of Lords unanimously reversed both decisions.</w:t>
      </w:r>
    </w:p>
    <w:p w14:paraId="52DD30F2" w14:textId="77777777" w:rsidR="007A5A97" w:rsidRDefault="00C00F5F">
      <w:pPr>
        <w:pStyle w:val="Heading2"/>
        <w:spacing w:before="220" w:after="120"/>
      </w:pPr>
      <w:r>
        <w:rPr>
          <w:b/>
          <w:bCs/>
          <w:color w:val="000000"/>
          <w:sz w:val="24"/>
          <w:szCs w:val="24"/>
        </w:rPr>
        <w:t>1.2 Brief Introduction to the Case</w:t>
      </w:r>
    </w:p>
    <w:p w14:paraId="0AAB8FEE" w14:textId="77777777" w:rsidR="007A5A97" w:rsidRDefault="00C00F5F">
      <w:pPr>
        <w:spacing w:after="160" w:line="300" w:lineRule="auto"/>
        <w:jc w:val="both"/>
      </w:pPr>
      <w:r>
        <w:t>Salomon v A Salomon &amp; Co Ltd is the foundational decision on corporate personality in English company law and remains the first case encountered by every student of the subject. The dispute arose when Aron Salomon, a sole-trading boot and shoe manufacturer, incorporated his business as a limited company, allotting the vast majority of shares to himself and one share each to six family members purely to satisfy the statutory minimum of seven subscribers. When the company later became insolvent, its unsecured creditors argued that Salomon and the company were, in substance, one and the same, and that he should not be allowed to recover ahead of them as a secured creditor.</w:t>
      </w:r>
    </w:p>
    <w:p w14:paraId="72BD5308" w14:textId="77777777" w:rsidR="007A5A97" w:rsidRDefault="00C00F5F">
      <w:pPr>
        <w:spacing w:after="160" w:line="300" w:lineRule="auto"/>
        <w:jc w:val="both"/>
      </w:pPr>
      <w:r>
        <w:t>At its heart, the case asks a foundational question of company law: once a business is validly incorporated in accordance with statute, does the law treat the resulting company as a genuinely separate legal person, distinct from the individual who founded and controls it — even where that individual owns nearly every share and runs the company as effectively a one-man business? The House of Lords' unanimous answer — that a validly incorporated company is a separate legal entity in its own right, regardless of the concentration of its ownership and control — established the doctrine of separate corporate personality as the cornerstone of modern company law.</w:t>
      </w:r>
    </w:p>
    <w:p w14:paraId="6427553D" w14:textId="77777777" w:rsidR="007A5A97" w:rsidRDefault="00C00F5F">
      <w:pPr>
        <w:pStyle w:val="Heading1"/>
        <w:spacing w:before="320" w:after="160"/>
      </w:pPr>
      <w:r>
        <w:rPr>
          <w:b/>
          <w:bCs/>
          <w:color w:val="000000"/>
          <w:sz w:val="28"/>
          <w:szCs w:val="28"/>
        </w:rPr>
        <w:t>2. Facts of the Case</w:t>
      </w:r>
    </w:p>
    <w:p w14:paraId="53FDDE66" w14:textId="77777777" w:rsidR="007A5A97" w:rsidRDefault="00C00F5F">
      <w:pPr>
        <w:pStyle w:val="Heading2"/>
        <w:spacing w:before="220" w:after="120"/>
      </w:pPr>
      <w:r>
        <w:rPr>
          <w:b/>
          <w:bCs/>
          <w:color w:val="000000"/>
          <w:sz w:val="24"/>
          <w:szCs w:val="24"/>
        </w:rPr>
        <w:t>2.1 Chronological Summary of Events</w:t>
      </w:r>
    </w:p>
    <w:p w14:paraId="4D49D5B5" w14:textId="77777777" w:rsidR="007A5A97" w:rsidRDefault="00C00F5F">
      <w:pPr>
        <w:pStyle w:val="ListParagraph"/>
        <w:numPr>
          <w:ilvl w:val="0"/>
          <w:numId w:val="2"/>
        </w:numPr>
        <w:spacing w:after="100" w:line="290" w:lineRule="auto"/>
        <w:jc w:val="both"/>
      </w:pPr>
      <w:r>
        <w:t>Aron Salomon was a successful boot and shoe manufacturer who had, for many years, operated his business as a sole proprietor in Whitechapel, London.</w:t>
      </w:r>
    </w:p>
    <w:p w14:paraId="249854C0" w14:textId="77777777" w:rsidR="007A5A97" w:rsidRDefault="00C00F5F">
      <w:pPr>
        <w:pStyle w:val="ListParagraph"/>
        <w:numPr>
          <w:ilvl w:val="0"/>
          <w:numId w:val="2"/>
        </w:numPr>
        <w:spacing w:after="100" w:line="290" w:lineRule="auto"/>
        <w:jc w:val="both"/>
      </w:pPr>
      <w:r>
        <w:lastRenderedPageBreak/>
        <w:t>Under pressure from his children, who wished to have a stake in the business, Salomon decided to convert his sole proprietorship into a limited liability company.</w:t>
      </w:r>
    </w:p>
    <w:p w14:paraId="02F814FB" w14:textId="77777777" w:rsidR="007A5A97" w:rsidRDefault="00C00F5F">
      <w:pPr>
        <w:pStyle w:val="ListParagraph"/>
        <w:numPr>
          <w:ilvl w:val="0"/>
          <w:numId w:val="2"/>
        </w:numPr>
        <w:spacing w:after="100" w:line="290" w:lineRule="auto"/>
        <w:jc w:val="both"/>
      </w:pPr>
      <w:r>
        <w:t>The Companies Act 1862 required a minimum of seven subscribers to incorporate a company; to satisfy this requirement, Salomon formed A Salomon &amp; Co Ltd, with himself, his wife, his daughter, and his four sons together making up the seven subscribers.</w:t>
      </w:r>
    </w:p>
    <w:p w14:paraId="0249A2C0" w14:textId="77777777" w:rsidR="007A5A97" w:rsidRDefault="00C00F5F">
      <w:pPr>
        <w:pStyle w:val="ListParagraph"/>
        <w:numPr>
          <w:ilvl w:val="0"/>
          <w:numId w:val="2"/>
        </w:numPr>
        <w:spacing w:after="100" w:line="290" w:lineRule="auto"/>
        <w:jc w:val="both"/>
      </w:pPr>
      <w:r>
        <w:t>The company issued 20,007 shares in total: Salomon himself held 20,001 shares, while his wife, daughter, and four sons each held one share, amounting to six shares between them.</w:t>
      </w:r>
    </w:p>
    <w:p w14:paraId="5DF550C1" w14:textId="77777777" w:rsidR="007A5A97" w:rsidRDefault="00C00F5F">
      <w:pPr>
        <w:pStyle w:val="ListParagraph"/>
        <w:numPr>
          <w:ilvl w:val="0"/>
          <w:numId w:val="2"/>
        </w:numPr>
        <w:spacing w:after="100" w:line="290" w:lineRule="auto"/>
        <w:jc w:val="both"/>
      </w:pPr>
      <w:r>
        <w:t>Salomon sold his existing business to the newly formed company for a price that was paid partly in cash, partly in fully paid shares, and partly through the issue of debentures to Salomon, secured by a floating charge over the company's assets, for £10,000.</w:t>
      </w:r>
    </w:p>
    <w:p w14:paraId="2727E503" w14:textId="77777777" w:rsidR="007A5A97" w:rsidRDefault="00C00F5F">
      <w:pPr>
        <w:pStyle w:val="ListParagraph"/>
        <w:numPr>
          <w:ilvl w:val="0"/>
          <w:numId w:val="2"/>
        </w:numPr>
        <w:spacing w:after="100" w:line="290" w:lineRule="auto"/>
        <w:jc w:val="both"/>
      </w:pPr>
      <w:r>
        <w:t>Salomon also served as the company's managing director, retaining full operational control over the business exactly as he had before incorporation.</w:t>
      </w:r>
    </w:p>
    <w:p w14:paraId="40895B50" w14:textId="77777777" w:rsidR="007A5A97" w:rsidRDefault="00C00F5F">
      <w:pPr>
        <w:pStyle w:val="ListParagraph"/>
        <w:numPr>
          <w:ilvl w:val="0"/>
          <w:numId w:val="2"/>
        </w:numPr>
        <w:spacing w:after="100" w:line="290" w:lineRule="auto"/>
        <w:jc w:val="both"/>
      </w:pPr>
      <w:r>
        <w:t>Following a downturn in the leather trade, the company fell into financial difficulty and, ultimately, into insolvent liquidation.</w:t>
      </w:r>
    </w:p>
    <w:p w14:paraId="7080E0E1" w14:textId="77777777" w:rsidR="007A5A97" w:rsidRDefault="00C00F5F">
      <w:pPr>
        <w:pStyle w:val="ListParagraph"/>
        <w:numPr>
          <w:ilvl w:val="0"/>
          <w:numId w:val="2"/>
        </w:numPr>
        <w:spacing w:after="100" w:line="290" w:lineRule="auto"/>
        <w:jc w:val="both"/>
      </w:pPr>
      <w:r>
        <w:t>On liquidation, the company's assets were insufficient to satisfy both Salomon's secured debentures and the claims of the unsecured trade creditors; if Salomon's debentures were valid and given priority, the unsecured creditors would receive nothing.</w:t>
      </w:r>
    </w:p>
    <w:p w14:paraId="1B400942" w14:textId="77777777" w:rsidR="007A5A97" w:rsidRDefault="00C00F5F">
      <w:pPr>
        <w:pStyle w:val="ListParagraph"/>
        <w:numPr>
          <w:ilvl w:val="0"/>
          <w:numId w:val="2"/>
        </w:numPr>
        <w:spacing w:after="100" w:line="290" w:lineRule="auto"/>
        <w:jc w:val="both"/>
      </w:pPr>
      <w:r>
        <w:t>The liquidator, acting for the unsecured creditors, argued that the company was merely an alias, agent, or trustee for Salomon, and sought to have Salomon held personally liable to indemnify the company against its debts, rather than permitting him to claim priority as a secured creditor.</w:t>
      </w:r>
    </w:p>
    <w:p w14:paraId="02AFE3A6" w14:textId="77777777" w:rsidR="007A5A97" w:rsidRDefault="00C00F5F">
      <w:pPr>
        <w:pStyle w:val="ListParagraph"/>
        <w:numPr>
          <w:ilvl w:val="0"/>
          <w:numId w:val="2"/>
        </w:numPr>
        <w:spacing w:after="100" w:line="290" w:lineRule="auto"/>
        <w:jc w:val="both"/>
      </w:pPr>
      <w:r>
        <w:t>Both the trial judge and the Court of Appeal found in favour of the unsecured creditors, holding that the company was a sham and that Salomon, as its true principal, must bear personal responsibility for its debts. Salomon appealed to the House of Lords.</w:t>
      </w:r>
    </w:p>
    <w:p w14:paraId="30BD1366" w14:textId="77777777" w:rsidR="007A5A97" w:rsidRDefault="00C00F5F">
      <w:pPr>
        <w:pStyle w:val="Heading2"/>
        <w:spacing w:before="220" w:after="120"/>
      </w:pPr>
      <w:r>
        <w:rPr>
          <w:b/>
          <w:bCs/>
          <w:color w:val="000000"/>
          <w:sz w:val="24"/>
          <w:szCs w:val="24"/>
        </w:rPr>
        <w:t>2.2 Material Commercial Context</w:t>
      </w:r>
    </w:p>
    <w:p w14:paraId="609DFD75" w14:textId="77777777" w:rsidR="007A5A97" w:rsidRDefault="00C00F5F">
      <w:pPr>
        <w:spacing w:after="160" w:line="300" w:lineRule="auto"/>
        <w:jc w:val="both"/>
      </w:pPr>
      <w:r>
        <w:t>The underlying transaction was the incorporation of an established sole-trader business into corporate form, a common commercial device used to raise capital, distribute ownership within a family, and, crucially, to limit the personal financial exposure of the business owner.</w:t>
      </w:r>
    </w:p>
    <w:p w14:paraId="28115456" w14:textId="77777777" w:rsidR="007A5A97" w:rsidRDefault="00C00F5F">
      <w:pPr>
        <w:pStyle w:val="ListParagraph"/>
        <w:numPr>
          <w:ilvl w:val="0"/>
          <w:numId w:val="2"/>
        </w:numPr>
        <w:spacing w:after="100" w:line="290" w:lineRule="auto"/>
        <w:jc w:val="both"/>
      </w:pPr>
      <w:r>
        <w:t>Incorporation under the Companies Act 1862 was, by the late nineteenth century, a well-established and legitimate route for converting a personal business into a company with its own separate legal existence, provided the statutory formalities were observed.</w:t>
      </w:r>
    </w:p>
    <w:p w14:paraId="3BDD311F" w14:textId="77777777" w:rsidR="007A5A97" w:rsidRDefault="00C00F5F">
      <w:pPr>
        <w:pStyle w:val="ListParagraph"/>
        <w:numPr>
          <w:ilvl w:val="0"/>
          <w:numId w:val="2"/>
        </w:numPr>
        <w:spacing w:after="100" w:line="290" w:lineRule="auto"/>
        <w:jc w:val="both"/>
      </w:pPr>
      <w:r>
        <w:t xml:space="preserve">The floating charge and secured debentures Salomon took in exchange for the business were a standard commercial financing mechanism, giving a creditor priority over a company's </w:t>
      </w:r>
      <w:r>
        <w:lastRenderedPageBreak/>
        <w:t>assets in the event of insolvency — precisely the kind of security arrangement unsecured trade creditors are exposed to when they extend credit to a limited company.</w:t>
      </w:r>
    </w:p>
    <w:p w14:paraId="2FB24FD9" w14:textId="77777777" w:rsidR="007A5A97" w:rsidRDefault="00C00F5F">
      <w:pPr>
        <w:pStyle w:val="ListParagraph"/>
        <w:numPr>
          <w:ilvl w:val="0"/>
          <w:numId w:val="2"/>
        </w:numPr>
        <w:spacing w:after="100" w:line="290" w:lineRule="auto"/>
        <w:jc w:val="both"/>
      </w:pPr>
      <w:r>
        <w:t>The commercial reality that concerned the lower courts was the near-total concentration of ownership and control in a single individual — a structure now commonly described as a 'one-man company' — which sat uneasily against the traditional image of a company as a body with numerous, genuinely independent members.</w:t>
      </w:r>
    </w:p>
    <w:p w14:paraId="3E282DD2" w14:textId="57642F61" w:rsidR="007A5A97" w:rsidRDefault="00C00F5F" w:rsidP="00B374EF">
      <w:r>
        <w:rPr>
          <w:b/>
          <w:bCs/>
          <w:color w:val="000000"/>
          <w:sz w:val="28"/>
          <w:szCs w:val="28"/>
        </w:rPr>
        <w:t>3. Legal Issue</w:t>
      </w:r>
    </w:p>
    <w:p w14:paraId="2672B240" w14:textId="77777777" w:rsidR="007A5A97" w:rsidRDefault="00C00F5F">
      <w:pPr>
        <w:pStyle w:val="Heading2"/>
        <w:spacing w:before="220" w:after="120"/>
      </w:pPr>
      <w:r>
        <w:rPr>
          <w:b/>
          <w:bCs/>
          <w:color w:val="000000"/>
          <w:sz w:val="24"/>
          <w:szCs w:val="24"/>
        </w:rPr>
        <w:t>3.1 Primary Question of Law</w:t>
      </w:r>
    </w:p>
    <w:p w14:paraId="192CF660" w14:textId="77777777" w:rsidR="007A5A97" w:rsidRDefault="00C00F5F">
      <w:pPr>
        <w:spacing w:after="160" w:line="300" w:lineRule="auto"/>
        <w:jc w:val="both"/>
      </w:pPr>
      <w:r>
        <w:t>Whether a company that has been validly incorporated in compliance with the Companies Act 1862 is a legal entity entirely separate and distinct from its shareholders — including a controlling shareholder who owns almost all of its shares and runs it as a one-man business — such that the shareholder cannot be held personally liable for the company's debts.</w:t>
      </w:r>
    </w:p>
    <w:p w14:paraId="6CF49265" w14:textId="77777777" w:rsidR="007A5A97" w:rsidRDefault="00C00F5F">
      <w:pPr>
        <w:spacing w:after="160" w:line="300" w:lineRule="auto"/>
        <w:jc w:val="both"/>
      </w:pPr>
      <w:r>
        <w:t>This primary question resolved itself, before the House of Lords, into three distinct sub-issues:</w:t>
      </w:r>
    </w:p>
    <w:p w14:paraId="7DA11E81" w14:textId="77777777" w:rsidR="007A5A97" w:rsidRDefault="00C00F5F">
      <w:pPr>
        <w:pStyle w:val="ListParagraph"/>
        <w:numPr>
          <w:ilvl w:val="0"/>
          <w:numId w:val="2"/>
        </w:numPr>
        <w:spacing w:after="100" w:line="290" w:lineRule="auto"/>
        <w:jc w:val="both"/>
      </w:pPr>
      <w:r>
        <w:t>Whether the statutory requirements of the Companies Act 1862 for valid incorporation had, in fact, been satisfied by A Salomon &amp; Co Ltd.</w:t>
      </w:r>
    </w:p>
    <w:p w14:paraId="291C37C5" w14:textId="77777777" w:rsidR="007A5A97" w:rsidRDefault="00C00F5F">
      <w:pPr>
        <w:pStyle w:val="ListParagraph"/>
        <w:numPr>
          <w:ilvl w:val="0"/>
          <w:numId w:val="2"/>
        </w:numPr>
        <w:spacing w:after="100" w:line="290" w:lineRule="auto"/>
        <w:jc w:val="both"/>
      </w:pPr>
      <w:r>
        <w:t>Whether a company that is, in economic substance, controlled and owned almost entirely by one person can nonetheless be treated in law as an agent, trustee, or alias of that person, rather than as an independent legal entity.</w:t>
      </w:r>
    </w:p>
    <w:p w14:paraId="3A94529D" w14:textId="77777777" w:rsidR="007A5A97" w:rsidRDefault="00C00F5F">
      <w:pPr>
        <w:pStyle w:val="ListParagraph"/>
        <w:numPr>
          <w:ilvl w:val="0"/>
          <w:numId w:val="2"/>
        </w:numPr>
        <w:spacing w:after="100" w:line="290" w:lineRule="auto"/>
        <w:jc w:val="both"/>
      </w:pPr>
      <w:r>
        <w:t>Whether Salomon's secured debentures, issued in exchange for the sale of his business to the company, were valid and entitled to priority over the claims of the company's unsecured creditors on liquidation.</w:t>
      </w:r>
    </w:p>
    <w:p w14:paraId="673226E7" w14:textId="77777777" w:rsidR="007A5A97" w:rsidRDefault="00C00F5F">
      <w:pPr>
        <w:pStyle w:val="Heading2"/>
        <w:spacing w:before="220" w:after="120"/>
      </w:pPr>
      <w:r>
        <w:rPr>
          <w:b/>
          <w:bCs/>
          <w:color w:val="000000"/>
          <w:sz w:val="24"/>
          <w:szCs w:val="24"/>
        </w:rPr>
        <w:t>3.2 Points of Contention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A5A97" w14:paraId="337A773B" w14:textId="77777777">
        <w:trPr>
          <w:tblHeader/>
        </w:trPr>
        <w:tc>
          <w:tcPr>
            <w:tcW w:w="2500" w:type="pct"/>
            <w:shd w:val="clear" w:color="auto" w:fill="D9D9D9"/>
            <w:tcMar>
              <w:top w:w="100" w:type="dxa"/>
              <w:left w:w="120" w:type="dxa"/>
              <w:bottom w:w="100" w:type="dxa"/>
              <w:right w:w="120" w:type="dxa"/>
            </w:tcMar>
            <w:vAlign w:val="center"/>
          </w:tcPr>
          <w:p w14:paraId="0A0B4BE8" w14:textId="77777777" w:rsidR="007A5A97" w:rsidRDefault="00C00F5F">
            <w:r>
              <w:rPr>
                <w:b/>
                <w:bCs/>
              </w:rPr>
              <w:t>Party</w:t>
            </w:r>
          </w:p>
        </w:tc>
        <w:tc>
          <w:tcPr>
            <w:tcW w:w="2500" w:type="pct"/>
            <w:shd w:val="clear" w:color="auto" w:fill="D9D9D9"/>
            <w:tcMar>
              <w:top w:w="100" w:type="dxa"/>
              <w:left w:w="120" w:type="dxa"/>
              <w:bottom w:w="100" w:type="dxa"/>
              <w:right w:w="120" w:type="dxa"/>
            </w:tcMar>
            <w:vAlign w:val="center"/>
          </w:tcPr>
          <w:p w14:paraId="6E6BAA8B" w14:textId="77777777" w:rsidR="007A5A97" w:rsidRDefault="00C00F5F">
            <w:r>
              <w:rPr>
                <w:b/>
                <w:bCs/>
              </w:rPr>
              <w:t>Argument</w:t>
            </w:r>
          </w:p>
        </w:tc>
      </w:tr>
      <w:tr w:rsidR="007A5A97" w14:paraId="3BE9D9FA" w14:textId="77777777">
        <w:tc>
          <w:tcPr>
            <w:tcW w:w="2500" w:type="pct"/>
            <w:tcMar>
              <w:top w:w="100" w:type="dxa"/>
              <w:left w:w="120" w:type="dxa"/>
              <w:bottom w:w="100" w:type="dxa"/>
              <w:right w:w="120" w:type="dxa"/>
            </w:tcMar>
          </w:tcPr>
          <w:p w14:paraId="7C3CD916" w14:textId="77777777" w:rsidR="007A5A97" w:rsidRDefault="00C00F5F">
            <w:pPr>
              <w:jc w:val="both"/>
            </w:pPr>
            <w:r>
              <w:rPr>
                <w:b/>
                <w:bCs/>
              </w:rPr>
              <w:t>Unsecured Creditors / Liquidator</w:t>
            </w:r>
          </w:p>
        </w:tc>
        <w:tc>
          <w:tcPr>
            <w:tcW w:w="2500" w:type="pct"/>
            <w:tcMar>
              <w:top w:w="100" w:type="dxa"/>
              <w:left w:w="120" w:type="dxa"/>
              <w:bottom w:w="100" w:type="dxa"/>
              <w:right w:w="120" w:type="dxa"/>
            </w:tcMar>
          </w:tcPr>
          <w:p w14:paraId="45612C35" w14:textId="77777777" w:rsidR="007A5A97" w:rsidRDefault="00C00F5F">
            <w:pPr>
              <w:jc w:val="both"/>
            </w:pPr>
            <w:r>
              <w:t>A Salomon &amp; Co Ltd was, in economic reality, nothing more than Aron Salomon trading under a corporate label; he owned nearly all the shares, controlled the business as managing director, and the other six subscribers held only nominal shares purely to satisfy the statutory minimum. The company was a mere agent, sham, or alias for Salomon himself, and he should be made to personally indemnify the company's debts rather than being allowed to claim priority over unsecured creditors through his secured debentures.</w:t>
            </w:r>
          </w:p>
        </w:tc>
      </w:tr>
      <w:tr w:rsidR="007A5A97" w14:paraId="1D2FD22B" w14:textId="77777777">
        <w:tc>
          <w:tcPr>
            <w:tcW w:w="2500" w:type="pct"/>
            <w:tcMar>
              <w:top w:w="100" w:type="dxa"/>
              <w:left w:w="120" w:type="dxa"/>
              <w:bottom w:w="100" w:type="dxa"/>
              <w:right w:w="120" w:type="dxa"/>
            </w:tcMar>
          </w:tcPr>
          <w:p w14:paraId="155C14CE" w14:textId="77777777" w:rsidR="007A5A97" w:rsidRDefault="00C00F5F">
            <w:pPr>
              <w:jc w:val="both"/>
            </w:pPr>
            <w:r>
              <w:rPr>
                <w:b/>
                <w:bCs/>
              </w:rPr>
              <w:lastRenderedPageBreak/>
              <w:t>Aron Salomon (Defendant/Appellant)</w:t>
            </w:r>
          </w:p>
        </w:tc>
        <w:tc>
          <w:tcPr>
            <w:tcW w:w="2500" w:type="pct"/>
            <w:tcMar>
              <w:top w:w="100" w:type="dxa"/>
              <w:left w:w="120" w:type="dxa"/>
              <w:bottom w:w="100" w:type="dxa"/>
              <w:right w:w="120" w:type="dxa"/>
            </w:tcMar>
          </w:tcPr>
          <w:p w14:paraId="0896D32B" w14:textId="77777777" w:rsidR="007A5A97" w:rsidRDefault="00C00F5F">
            <w:pPr>
              <w:jc w:val="both"/>
            </w:pPr>
            <w:r>
              <w:t>The company had been validly incorporated in full compliance with the Companies Act 1862, with seven subscribers as required by statute; once registered, the company became a legal person in its own right, entirely separate from himself. His debentures were validly secured against the company's assets, and there was no fraud or impropriety in the incorporation, so he was entitled to be treated as a secured creditor with priority over the unsecured creditors on liquidation.</w:t>
            </w:r>
          </w:p>
        </w:tc>
      </w:tr>
    </w:tbl>
    <w:p w14:paraId="4E9E8247" w14:textId="77777777" w:rsidR="007A5A97" w:rsidRDefault="00C00F5F">
      <w:pPr>
        <w:pStyle w:val="Heading1"/>
        <w:spacing w:before="320" w:after="160"/>
      </w:pPr>
      <w:r>
        <w:rPr>
          <w:b/>
          <w:bCs/>
          <w:color w:val="000000"/>
          <w:sz w:val="28"/>
          <w:szCs w:val="28"/>
        </w:rPr>
        <w:t>4. Judgment</w:t>
      </w:r>
    </w:p>
    <w:p w14:paraId="31F8C2A6" w14:textId="77777777" w:rsidR="007A5A97" w:rsidRDefault="00C00F5F">
      <w:pPr>
        <w:pStyle w:val="Heading2"/>
        <w:spacing w:before="220" w:after="120"/>
      </w:pPr>
      <w:r>
        <w:rPr>
          <w:b/>
          <w:bCs/>
          <w:color w:val="000000"/>
          <w:sz w:val="24"/>
          <w:szCs w:val="24"/>
        </w:rPr>
        <w:t>4.1 Court's Decision</w:t>
      </w:r>
    </w:p>
    <w:p w14:paraId="2F502084" w14:textId="77777777" w:rsidR="007A5A97" w:rsidRDefault="00C00F5F">
      <w:pPr>
        <w:spacing w:after="160" w:line="300" w:lineRule="auto"/>
        <w:jc w:val="both"/>
      </w:pPr>
      <w:r>
        <w:t>The House of Lords unanimously allowed Salomon's appeal, reversing the decisions of both the trial court and the Court of Appeal. The Lords held that A Salomon &amp; Co Ltd was a validly incorporated company, entirely separate in law from Aron Salomon himself, and that Salomon was not personally liable to indemnify the company against its debts. His secured debentures were held valid, entitling him to priority over the unsecured creditors in the distribution of the company's assets on liquidation.</w:t>
      </w:r>
    </w:p>
    <w:p w14:paraId="2FFC22FF" w14:textId="77777777" w:rsidR="007A5A97" w:rsidRDefault="00C00F5F">
      <w:pPr>
        <w:pStyle w:val="Heading2"/>
        <w:spacing w:before="220" w:after="120"/>
      </w:pPr>
      <w:r>
        <w:rPr>
          <w:b/>
          <w:bCs/>
          <w:color w:val="000000"/>
          <w:sz w:val="24"/>
          <w:szCs w:val="24"/>
        </w:rPr>
        <w:t>4.2 Ratio Decidendi (Judicial Reasoning)</w:t>
      </w:r>
    </w:p>
    <w:p w14:paraId="76D76F91" w14:textId="77777777" w:rsidR="007A5A97" w:rsidRDefault="00C00F5F">
      <w:pPr>
        <w:spacing w:after="160" w:line="300" w:lineRule="auto"/>
        <w:jc w:val="both"/>
      </w:pPr>
      <w:r>
        <w:t>Although each of the Law Lords delivered his own speech, several connected threads run through the judgments and together form the ratio decidendi of the case:</w:t>
      </w:r>
    </w:p>
    <w:p w14:paraId="41E01333" w14:textId="77777777" w:rsidR="007A5A97" w:rsidRDefault="00C00F5F">
      <w:pPr>
        <w:pStyle w:val="ListParagraph"/>
        <w:numPr>
          <w:ilvl w:val="0"/>
          <w:numId w:val="2"/>
        </w:numPr>
        <w:spacing w:after="100" w:line="290" w:lineRule="auto"/>
        <w:jc w:val="both"/>
      </w:pPr>
      <w:r>
        <w:t>Strict compliance with statute is sufficient for incorporation. The House of Lords held that the Companies Act 1862 required only that seven persons, each holding at least one share, subscribe to the memorandum of association; the Act did not require those subscribers to be independent of one another in interest, or to hold shares in any particular proportion.</w:t>
      </w:r>
    </w:p>
    <w:p w14:paraId="4C4D5961" w14:textId="77777777" w:rsidR="007A5A97" w:rsidRDefault="00C00F5F">
      <w:pPr>
        <w:pStyle w:val="ListParagraph"/>
        <w:numPr>
          <w:ilvl w:val="0"/>
          <w:numId w:val="2"/>
        </w:numPr>
        <w:spacing w:after="100" w:line="290" w:lineRule="auto"/>
        <w:jc w:val="both"/>
      </w:pPr>
      <w:r>
        <w:t>Once validly registered, a company is a distinct legal person. Their Lordships emphasised that upon registration, the company becomes a legal entity in its own right, with rights and liabilities separate from those of its shareholders and directors, however few in number the shareholders may effectively be or however completely one individual may dominate its affairs.</w:t>
      </w:r>
    </w:p>
    <w:p w14:paraId="4E6AAD83" w14:textId="77777777" w:rsidR="007A5A97" w:rsidRDefault="00C00F5F">
      <w:pPr>
        <w:pStyle w:val="ListParagraph"/>
        <w:numPr>
          <w:ilvl w:val="0"/>
          <w:numId w:val="2"/>
        </w:numPr>
        <w:spacing w:after="100" w:line="290" w:lineRule="auto"/>
        <w:jc w:val="both"/>
      </w:pPr>
      <w:r>
        <w:t xml:space="preserve">Motive and degree of control are irrelevant to the validity of incorporation. The Lords rejected the argument that Salomon's dominant shareholding, or his motive of limiting his </w:t>
      </w:r>
      <w:r>
        <w:lastRenderedPageBreak/>
        <w:t>own liability while retaining control, could undermine the separate legal existence of a company that had otherwise fully complied with the statute.</w:t>
      </w:r>
    </w:p>
    <w:p w14:paraId="6D8F5B2C" w14:textId="77777777" w:rsidR="007A5A97" w:rsidRDefault="00C00F5F">
      <w:pPr>
        <w:pStyle w:val="ListParagraph"/>
        <w:numPr>
          <w:ilvl w:val="0"/>
          <w:numId w:val="2"/>
        </w:numPr>
        <w:spacing w:after="100" w:line="290" w:lineRule="auto"/>
        <w:jc w:val="both"/>
      </w:pPr>
      <w:r>
        <w:t>No fraud or sham was established. The House of Lords found no evidence that the incorporation was fraudulent or that the company was a mere sham; the transaction by which Salomon sold his business to the company, and took shares and secured debentures in return, was a genuine and lawful commercial arrangement.</w:t>
      </w:r>
    </w:p>
    <w:p w14:paraId="2FA985FF" w14:textId="77777777" w:rsidR="007A5A97" w:rsidRDefault="00C00F5F">
      <w:pPr>
        <w:pStyle w:val="ListParagraph"/>
        <w:numPr>
          <w:ilvl w:val="0"/>
          <w:numId w:val="2"/>
        </w:numPr>
        <w:spacing w:after="100" w:line="290" w:lineRule="auto"/>
        <w:jc w:val="both"/>
      </w:pPr>
      <w:r>
        <w:t>Secured creditors retain their priority. Because the company was a separate legal person and the debentures were validly issued and secured by a proper charge over its assets, Salomon was entitled, as a secured creditor, to be paid ahead of the unsecured creditors on liquidation, notwithstanding that he was also the company's controlling shareholder and director.</w:t>
      </w:r>
    </w:p>
    <w:p w14:paraId="5B6E03FF" w14:textId="77777777" w:rsidR="007A5A97" w:rsidRDefault="00C00F5F">
      <w:pPr>
        <w:pStyle w:val="Heading1"/>
        <w:spacing w:before="320" w:after="160"/>
      </w:pPr>
      <w:r>
        <w:rPr>
          <w:b/>
          <w:bCs/>
          <w:color w:val="000000"/>
          <w:sz w:val="28"/>
          <w:szCs w:val="28"/>
        </w:rPr>
        <w:t>5. Legal Principle: Contract Formation Analysis</w:t>
      </w:r>
    </w:p>
    <w:p w14:paraId="269C35B7" w14:textId="77777777" w:rsidR="007A5A97" w:rsidRDefault="00C00F5F">
      <w:pPr>
        <w:spacing w:after="160" w:line="300" w:lineRule="auto"/>
        <w:jc w:val="both"/>
      </w:pPr>
      <w:r>
        <w:t>Salomon is not, at its core, a case about the formation of a bilateral contract between two negotiating parties; its central holding concerns the constitutional effect of incorporation itself. Even so, its reasoning can usefully be mapped onto the classical framework of offer, acceptance, and the ancillary pillars of a binding legal arrangement, applied here to the statutory 'contract' of incorporation and the commercial dealings that followed it.</w:t>
      </w:r>
    </w:p>
    <w:p w14:paraId="51C56C6B" w14:textId="77777777" w:rsidR="007A5A97" w:rsidRDefault="00C00F5F">
      <w:pPr>
        <w:pStyle w:val="Heading2"/>
        <w:spacing w:before="220" w:after="120"/>
      </w:pPr>
      <w:r>
        <w:rPr>
          <w:b/>
          <w:bCs/>
          <w:color w:val="000000"/>
          <w:sz w:val="24"/>
          <w:szCs w:val="24"/>
        </w:rPr>
        <w:t>5.1 Evaluation of a Valid Offer</w:t>
      </w:r>
    </w:p>
    <w:p w14:paraId="1DDD34E4" w14:textId="77777777" w:rsidR="007A5A97" w:rsidRDefault="00C00F5F">
      <w:pPr>
        <w:spacing w:after="160" w:line="300" w:lineRule="auto"/>
        <w:jc w:val="both"/>
      </w:pPr>
      <w:r>
        <w:t>The relevant 'offer' in this case is best understood as Salomon's proposal to subscribe, together with six family members, to the memorandum of association of A Salomon &amp; Co Ltd, and his subsequent offer to sell his existing business to the newly formed company in exchange for shares and secured debentures.</w:t>
      </w:r>
    </w:p>
    <w:p w14:paraId="4A42D782" w14:textId="77777777" w:rsidR="007A5A97" w:rsidRDefault="00C00F5F">
      <w:pPr>
        <w:pStyle w:val="ListParagraph"/>
        <w:numPr>
          <w:ilvl w:val="0"/>
          <w:numId w:val="2"/>
        </w:numPr>
        <w:spacing w:after="100" w:line="290" w:lineRule="auto"/>
        <w:jc w:val="both"/>
      </w:pPr>
      <w:r>
        <w:t>The memorandum of association, once subscribed by all seven members in the form required by the Companies Act 1862, was a definite and complete statutory document — not a mere invitation to treat — capable of bringing a company into legal existence upon registration.</w:t>
      </w:r>
    </w:p>
    <w:p w14:paraId="0152776A" w14:textId="77777777" w:rsidR="007A5A97" w:rsidRDefault="00C00F5F">
      <w:pPr>
        <w:pStyle w:val="ListParagraph"/>
        <w:numPr>
          <w:ilvl w:val="0"/>
          <w:numId w:val="2"/>
        </w:numPr>
        <w:spacing w:after="100" w:line="290" w:lineRule="auto"/>
        <w:jc w:val="both"/>
      </w:pPr>
      <w:r>
        <w:t>Salomon's proposal to sell his business to the company was similarly a clear, specific offer, identifying the assets to be transferred and the consideration to be received in cash, shares, and secured debentures, rather than a vague or preliminary negotiation.</w:t>
      </w:r>
    </w:p>
    <w:p w14:paraId="53BBC12C" w14:textId="77777777" w:rsidR="007A5A97" w:rsidRDefault="00C00F5F">
      <w:pPr>
        <w:pStyle w:val="ListParagraph"/>
        <w:numPr>
          <w:ilvl w:val="0"/>
          <w:numId w:val="2"/>
        </w:numPr>
        <w:spacing w:after="100" w:line="290" w:lineRule="auto"/>
        <w:jc w:val="both"/>
      </w:pPr>
      <w:r>
        <w:t>The House of Lords' willingness to treat these arrangements as legally effective, despite the concentration of interest in one family, underscores that an offer's validity depends on compliance with legal form and genuine intent, not on the commercial independence of the parties exchanging it.</w:t>
      </w:r>
    </w:p>
    <w:p w14:paraId="2AD14646" w14:textId="77777777" w:rsidR="00B374EF" w:rsidRDefault="00B374EF" w:rsidP="00B374EF">
      <w:pPr>
        <w:spacing w:after="100" w:line="290" w:lineRule="auto"/>
        <w:jc w:val="both"/>
      </w:pPr>
    </w:p>
    <w:p w14:paraId="5AB30AC8" w14:textId="77777777" w:rsidR="00B374EF" w:rsidRDefault="00B374EF" w:rsidP="00B374EF">
      <w:pPr>
        <w:spacing w:after="100" w:line="290" w:lineRule="auto"/>
        <w:jc w:val="both"/>
      </w:pPr>
    </w:p>
    <w:p w14:paraId="64EEA081" w14:textId="77777777" w:rsidR="007A5A97" w:rsidRDefault="00C00F5F">
      <w:pPr>
        <w:pStyle w:val="Heading2"/>
        <w:spacing w:before="220" w:after="120"/>
      </w:pPr>
      <w:r>
        <w:rPr>
          <w:b/>
          <w:bCs/>
          <w:color w:val="000000"/>
          <w:sz w:val="24"/>
          <w:szCs w:val="24"/>
        </w:rPr>
        <w:lastRenderedPageBreak/>
        <w:t>5.2 Mechanics of Acceptance</w:t>
      </w:r>
    </w:p>
    <w:p w14:paraId="31907345" w14:textId="77777777" w:rsidR="007A5A97" w:rsidRDefault="00C00F5F">
      <w:pPr>
        <w:spacing w:after="160" w:line="300" w:lineRule="auto"/>
        <w:jc w:val="both"/>
      </w:pPr>
      <w:r>
        <w:t>Acceptance in Salomon operates on two levels: the statutory acceptance of membership by the seven subscribers, and the company's acceptance, once incorporated, of Salomon's offer to purchase his business.</w:t>
      </w:r>
    </w:p>
    <w:p w14:paraId="0DA2E1F4" w14:textId="77777777" w:rsidR="007A5A97" w:rsidRDefault="00C00F5F">
      <w:pPr>
        <w:pStyle w:val="ListParagraph"/>
        <w:numPr>
          <w:ilvl w:val="0"/>
          <w:numId w:val="2"/>
        </w:numPr>
        <w:spacing w:after="100" w:line="290" w:lineRule="auto"/>
        <w:jc w:val="both"/>
      </w:pPr>
      <w:r>
        <w:t>Each of the seven subscribers accepted membership of the company by signing the memorandum of association, a formal act of acceptance prescribed by statute rather than by ordinary contractual correspondence, bringing the company into being as a matter of law upon registration.</w:t>
      </w:r>
    </w:p>
    <w:p w14:paraId="3CC316D9" w14:textId="77777777" w:rsidR="007A5A97" w:rsidRDefault="00C00F5F">
      <w:pPr>
        <w:pStyle w:val="ListParagraph"/>
        <w:numPr>
          <w:ilvl w:val="0"/>
          <w:numId w:val="2"/>
        </w:numPr>
        <w:spacing w:after="100" w:line="290" w:lineRule="auto"/>
        <w:jc w:val="both"/>
      </w:pPr>
      <w:r>
        <w:t>The newly incorporated company, acting through its board (which included Salomon himself), accepted Salomon's offer to sell his business, completing the transaction by allotting shares and issuing secured debentures in his favour.</w:t>
      </w:r>
    </w:p>
    <w:p w14:paraId="23504811" w14:textId="77777777" w:rsidR="007A5A97" w:rsidRDefault="00C00F5F">
      <w:pPr>
        <w:pStyle w:val="ListParagraph"/>
        <w:numPr>
          <w:ilvl w:val="0"/>
          <w:numId w:val="2"/>
        </w:numPr>
        <w:spacing w:after="100" w:line="290" w:lineRule="auto"/>
        <w:jc w:val="both"/>
      </w:pPr>
      <w:r>
        <w:t>The House of Lords treated this acceptance as fully effective notwithstanding that Salomon stood, in substance, on both sides of the transaction as vendor and as director of the purchasing company — a point the lower courts had treated with suspicion, but which the Lords held did not, by itself, invalidate the transaction once the statutory formalities of incorporation had been properly observed.</w:t>
      </w:r>
    </w:p>
    <w:p w14:paraId="59E987B8" w14:textId="77777777" w:rsidR="007A5A97" w:rsidRDefault="00C00F5F">
      <w:pPr>
        <w:pStyle w:val="Heading2"/>
        <w:spacing w:before="220" w:after="120"/>
      </w:pPr>
      <w:r>
        <w:rPr>
          <w:b/>
          <w:bCs/>
          <w:color w:val="000000"/>
          <w:sz w:val="24"/>
          <w:szCs w:val="24"/>
        </w:rPr>
        <w:t>5.3 Ancillary Pillars of Formation</w:t>
      </w:r>
    </w:p>
    <w:p w14:paraId="6F088BFC" w14:textId="77777777" w:rsidR="007A5A97" w:rsidRDefault="00C00F5F">
      <w:pPr>
        <w:spacing w:after="160" w:line="300" w:lineRule="auto"/>
        <w:jc w:val="both"/>
      </w:pPr>
      <w:r>
        <w:t>The remaining pillars of a binding arrangement — consideration and intention to create legal relations — were both plainly present in the transaction between Salomon and his newly formed company.</w:t>
      </w:r>
    </w:p>
    <w:p w14:paraId="35EF4333" w14:textId="77777777" w:rsidR="007A5A97" w:rsidRDefault="00C00F5F">
      <w:pPr>
        <w:pStyle w:val="ListParagraph"/>
        <w:numPr>
          <w:ilvl w:val="0"/>
          <w:numId w:val="2"/>
        </w:numPr>
        <w:spacing w:after="100" w:line="290" w:lineRule="auto"/>
        <w:jc w:val="both"/>
      </w:pPr>
      <w:r>
        <w:t>Consideration: The company received Salomon's existing, established business, along with its goodwill and assets, as consideration for the shares and debentures it issued to him; conversely, Salomon received tangible commercial value in the form of newly issued securities in exchange for the business he transferred.</w:t>
      </w:r>
    </w:p>
    <w:p w14:paraId="36F1D0B9" w14:textId="77777777" w:rsidR="007A5A97" w:rsidRDefault="00C00F5F">
      <w:pPr>
        <w:pStyle w:val="ListParagraph"/>
        <w:numPr>
          <w:ilvl w:val="0"/>
          <w:numId w:val="2"/>
        </w:numPr>
        <w:spacing w:after="100" w:line="290" w:lineRule="auto"/>
        <w:jc w:val="both"/>
      </w:pPr>
      <w:r>
        <w:t>Intention to Create Legal Relations: As a formal, statutory act of incorporation coupled with a documented commercial sale of a business, the arrangement carried an unmistakable intention to create binding legal relations; there was nothing informal, social, or domestic about the transaction of the kind that displaces this intention in cases such as Balfour v Balfour.</w:t>
      </w:r>
    </w:p>
    <w:p w14:paraId="75E110D6" w14:textId="77777777" w:rsidR="007A5A97" w:rsidRDefault="00C00F5F">
      <w:pPr>
        <w:spacing w:after="160" w:line="300" w:lineRule="auto"/>
        <w:jc w:val="both"/>
      </w:pPr>
      <w:r>
        <w:t>Because the formal requirements of incorporation, offer, acceptance, and consideration were all satisfied, the House of Lords held that the resulting legal entity — A Salomon &amp; Co Ltd — could not be stripped of its separate legal personality simply because one individual held nearly all of its shares and exercised effective control over its affairs. This is the enduring legacy of the case: the veil of incorporation, once properly drawn, is not lifted merely because a company is, in economic terms, a one-man show.</w:t>
      </w:r>
    </w:p>
    <w:p w14:paraId="4F9669F0" w14:textId="21B187AE" w:rsidR="007A5A97" w:rsidRDefault="00C00F5F" w:rsidP="00B374EF">
      <w:r>
        <w:br w:type="page"/>
      </w:r>
      <w:r>
        <w:rPr>
          <w:b/>
          <w:bCs/>
          <w:color w:val="000000"/>
          <w:sz w:val="28"/>
          <w:szCs w:val="28"/>
        </w:rPr>
        <w:lastRenderedPageBreak/>
        <w:t>6. Business Relevance</w:t>
      </w:r>
    </w:p>
    <w:p w14:paraId="586B096F" w14:textId="77777777" w:rsidR="007A5A97" w:rsidRDefault="00C00F5F">
      <w:pPr>
        <w:pStyle w:val="Heading2"/>
        <w:spacing w:before="220" w:after="120"/>
      </w:pPr>
      <w:r>
        <w:rPr>
          <w:b/>
          <w:bCs/>
          <w:color w:val="000000"/>
          <w:sz w:val="24"/>
          <w:szCs w:val="24"/>
        </w:rPr>
        <w:t>6.1 Application in Modern Business</w:t>
      </w:r>
    </w:p>
    <w:p w14:paraId="1D55BAB9" w14:textId="77777777" w:rsidR="007A5A97" w:rsidRDefault="00C00F5F">
      <w:pPr>
        <w:spacing w:after="160" w:line="300" w:lineRule="auto"/>
        <w:jc w:val="both"/>
      </w:pPr>
      <w:r>
        <w:t>Although decided in 1897 in the context of a Victorian boot and shoe business, Salomon v Salomon continues to underpin how modern businesses, investors, and regulators structure and understand corporate entities across virtually every sector:</w:t>
      </w:r>
    </w:p>
    <w:p w14:paraId="7CE9050C" w14:textId="77777777" w:rsidR="007A5A97" w:rsidRDefault="00C00F5F">
      <w:pPr>
        <w:pStyle w:val="ListParagraph"/>
        <w:numPr>
          <w:ilvl w:val="0"/>
          <w:numId w:val="2"/>
        </w:numPr>
        <w:spacing w:after="100" w:line="290" w:lineRule="auto"/>
        <w:jc w:val="both"/>
      </w:pPr>
      <w:r>
        <w:t xml:space="preserve">Startups and single-founder companies: Modern company law in most jurisdictions now expressly permits single-member incorporation, formalising, more than a century later, the very </w:t>
      </w:r>
      <w:proofErr w:type="gramStart"/>
      <w:r>
        <w:t>principle</w:t>
      </w:r>
      <w:proofErr w:type="gramEnd"/>
      <w:r>
        <w:t xml:space="preserve"> Salomon established — that a company owned and controlled by one person is nonetheless a distinct legal entity.</w:t>
      </w:r>
    </w:p>
    <w:p w14:paraId="1273A642" w14:textId="77777777" w:rsidR="007A5A97" w:rsidRDefault="00C00F5F">
      <w:pPr>
        <w:pStyle w:val="ListParagraph"/>
        <w:numPr>
          <w:ilvl w:val="0"/>
          <w:numId w:val="2"/>
        </w:numPr>
        <w:spacing w:after="100" w:line="290" w:lineRule="auto"/>
        <w:jc w:val="both"/>
      </w:pPr>
      <w:r>
        <w:t>Group corporate structures: Multinational corporations rely on Salomon's separate personality doctrine to structure parent and subsidiary companies as distinct legal persons, each bearing its own liabilities, enabling risk to be contained within individual entities across a corporate group.</w:t>
      </w:r>
    </w:p>
    <w:p w14:paraId="79BDE00E" w14:textId="77777777" w:rsidR="007A5A97" w:rsidRDefault="00C00F5F">
      <w:pPr>
        <w:pStyle w:val="ListParagraph"/>
        <w:numPr>
          <w:ilvl w:val="0"/>
          <w:numId w:val="2"/>
        </w:numPr>
        <w:spacing w:after="100" w:line="290" w:lineRule="auto"/>
        <w:jc w:val="both"/>
      </w:pPr>
      <w:r>
        <w:t>Secured lending and corporate finance: The case confirms that a controlling shareholder or director can validly hold secured debt against their own company, a structure still used today in shareholder loan and debenture arrangements, subject to modern statutory safeguards against improper preference in insolvency.</w:t>
      </w:r>
    </w:p>
    <w:p w14:paraId="04496E21" w14:textId="77777777" w:rsidR="007A5A97" w:rsidRDefault="00C00F5F">
      <w:pPr>
        <w:pStyle w:val="ListParagraph"/>
        <w:numPr>
          <w:ilvl w:val="0"/>
          <w:numId w:val="2"/>
        </w:numPr>
        <w:spacing w:after="100" w:line="290" w:lineRule="auto"/>
        <w:jc w:val="both"/>
      </w:pPr>
      <w:r>
        <w:t>Venture capital and private equity: Investors rely on the certainty that a portfolio company's liabilities remain within that company, rather than exposing its shareholders or controlling founders personally, a certainty that traces directly back to the principle established in Salomon.</w:t>
      </w:r>
    </w:p>
    <w:p w14:paraId="101290FA" w14:textId="77777777" w:rsidR="007A5A97" w:rsidRDefault="00C00F5F">
      <w:pPr>
        <w:pStyle w:val="Heading2"/>
        <w:spacing w:before="220" w:after="120"/>
      </w:pPr>
      <w:r>
        <w:rPr>
          <w:b/>
          <w:bCs/>
          <w:color w:val="000000"/>
          <w:sz w:val="24"/>
          <w:szCs w:val="24"/>
        </w:rPr>
        <w:t>6.2 Risk Management &amp; Operational Compliance</w:t>
      </w:r>
    </w:p>
    <w:p w14:paraId="33508802" w14:textId="77777777" w:rsidR="007A5A97" w:rsidRDefault="00C00F5F">
      <w:pPr>
        <w:spacing w:after="160" w:line="300" w:lineRule="auto"/>
        <w:jc w:val="both"/>
      </w:pPr>
      <w:r>
        <w:t>The judgment offers several enduring, practical lessons for businesses and individuals seeking to structure their affairs through corporate form:</w:t>
      </w:r>
    </w:p>
    <w:p w14:paraId="337E8F9E" w14:textId="77777777" w:rsidR="007A5A97" w:rsidRDefault="00C00F5F">
      <w:pPr>
        <w:pStyle w:val="ListParagraph"/>
        <w:numPr>
          <w:ilvl w:val="0"/>
          <w:numId w:val="2"/>
        </w:numPr>
        <w:spacing w:after="100" w:line="290" w:lineRule="auto"/>
        <w:jc w:val="both"/>
      </w:pPr>
      <w:r>
        <w:t xml:space="preserve">Observe statutory formalities precisely. Salomon confirms that strict compliance with the applicable </w:t>
      </w:r>
      <w:proofErr w:type="gramStart"/>
      <w:r>
        <w:t>companies</w:t>
      </w:r>
      <w:proofErr w:type="gramEnd"/>
      <w:r>
        <w:t xml:space="preserve"> legislation is what secures the protection of separate legal personality; businesses should ensure incorporation formalities, share allotments, and registration requirements are properly and accurately completed.</w:t>
      </w:r>
    </w:p>
    <w:p w14:paraId="1958608A" w14:textId="77777777" w:rsidR="007A5A97" w:rsidRDefault="00C00F5F">
      <w:pPr>
        <w:pStyle w:val="ListParagraph"/>
        <w:numPr>
          <w:ilvl w:val="0"/>
          <w:numId w:val="2"/>
        </w:numPr>
        <w:spacing w:after="100" w:line="290" w:lineRule="auto"/>
        <w:jc w:val="both"/>
      </w:pPr>
      <w:r>
        <w:t>Understand the limits of limited liability. While incorporation shields shareholders from personal liability for company debts, this protection is not absolute; directors and controlling shareholders must still avoid fraud, misrepresentation, and other conduct that could expose them to personal liability under modern statutory and common law exceptions.</w:t>
      </w:r>
    </w:p>
    <w:p w14:paraId="6E7C5430" w14:textId="77777777" w:rsidR="007A5A97" w:rsidRDefault="00C00F5F">
      <w:pPr>
        <w:pStyle w:val="ListParagraph"/>
        <w:numPr>
          <w:ilvl w:val="0"/>
          <w:numId w:val="2"/>
        </w:numPr>
        <w:spacing w:after="100" w:line="290" w:lineRule="auto"/>
        <w:jc w:val="both"/>
      </w:pPr>
      <w:r>
        <w:t xml:space="preserve">Maintain corporate formalities on an ongoing basis. Businesses should keep company assets, contracts, and finances properly separated from those of their controlling individuals, since </w:t>
      </w:r>
      <w:r>
        <w:lastRenderedPageBreak/>
        <w:t>blurring this separation increases the risk that a court will be asked to pierce the corporate veil in a later dispute.</w:t>
      </w:r>
    </w:p>
    <w:p w14:paraId="32B6AF46" w14:textId="77777777" w:rsidR="007A5A97" w:rsidRDefault="00C00F5F">
      <w:pPr>
        <w:pStyle w:val="ListParagraph"/>
        <w:numPr>
          <w:ilvl w:val="0"/>
          <w:numId w:val="2"/>
        </w:numPr>
        <w:spacing w:after="100" w:line="290" w:lineRule="auto"/>
        <w:jc w:val="both"/>
      </w:pPr>
      <w:r>
        <w:t>Recognise the exceptions to separate personality. Modern courts retain the power to pierce or lift the corporate veil in exceptional circumstances — such as fraud, evasion of an existing legal obligation, or the use of a company as a mere façade — and businesses should structure their affairs to avoid conduct that could trigger these exceptions.</w:t>
      </w:r>
    </w:p>
    <w:p w14:paraId="256ED165" w14:textId="77777777" w:rsidR="007A5A97" w:rsidRDefault="00C00F5F">
      <w:pPr>
        <w:pStyle w:val="ListParagraph"/>
        <w:numPr>
          <w:ilvl w:val="0"/>
          <w:numId w:val="2"/>
        </w:numPr>
        <w:spacing w:after="100" w:line="290" w:lineRule="auto"/>
        <w:jc w:val="both"/>
      </w:pPr>
      <w:r>
        <w:t>Use secured lending structures deliberately and transparently. Where a director or shareholder wishes to lend to their own company on a secured basis, as Salomon did, the arrangement should be properly documented and disclosed to avoid later challenge by other creditors or a liquidator.</w:t>
      </w:r>
    </w:p>
    <w:p w14:paraId="3C091A5A" w14:textId="7955AB98" w:rsidR="007A5A97" w:rsidRDefault="00C00F5F" w:rsidP="00B374EF">
      <w:r>
        <w:rPr>
          <w:b/>
          <w:bCs/>
          <w:color w:val="000000"/>
          <w:sz w:val="28"/>
          <w:szCs w:val="28"/>
        </w:rPr>
        <w:t>7. Conclusion</w:t>
      </w:r>
    </w:p>
    <w:p w14:paraId="4444B3A1" w14:textId="77777777" w:rsidR="007A5A97" w:rsidRDefault="00C00F5F">
      <w:pPr>
        <w:pStyle w:val="Heading2"/>
        <w:spacing w:before="220" w:after="120"/>
      </w:pPr>
      <w:r>
        <w:rPr>
          <w:b/>
          <w:bCs/>
          <w:color w:val="000000"/>
          <w:sz w:val="24"/>
          <w:szCs w:val="24"/>
        </w:rPr>
        <w:t>7.1 Personal Learning and Observations</w:t>
      </w:r>
    </w:p>
    <w:p w14:paraId="1AAC0587" w14:textId="77777777" w:rsidR="007A5A97" w:rsidRDefault="00C00F5F">
      <w:pPr>
        <w:spacing w:after="160" w:line="300" w:lineRule="auto"/>
        <w:jc w:val="both"/>
      </w:pPr>
      <w:r>
        <w:t>Salomon v Salomon endures as a foundational case not because the underlying boot and shoe business was commercially significant, but because the House of Lords used a modest family incorporation to settle, with lasting clarity, the constitutional foundation of company law: that a validly incorporated company is a legal person in its own right, wholly separate from those who own and control it.</w:t>
      </w:r>
    </w:p>
    <w:p w14:paraId="545CBDF2" w14:textId="77777777" w:rsidR="007A5A97" w:rsidRDefault="00C00F5F">
      <w:pPr>
        <w:pStyle w:val="ListParagraph"/>
        <w:numPr>
          <w:ilvl w:val="0"/>
          <w:numId w:val="2"/>
        </w:numPr>
        <w:spacing w:after="100" w:line="290" w:lineRule="auto"/>
        <w:jc w:val="both"/>
      </w:pPr>
      <w:r>
        <w:t>The judgment demonstrates how courts prioritise strict compliance with statutory form over an inquiry into economic substance, refusing to treat a company as a mere alias for its controller simply because ownership and control are concentrated in one individual.</w:t>
      </w:r>
    </w:p>
    <w:p w14:paraId="04EFC5B5" w14:textId="77777777" w:rsidR="007A5A97" w:rsidRDefault="00C00F5F">
      <w:pPr>
        <w:pStyle w:val="ListParagraph"/>
        <w:numPr>
          <w:ilvl w:val="0"/>
          <w:numId w:val="2"/>
        </w:numPr>
        <w:spacing w:after="100" w:line="290" w:lineRule="auto"/>
        <w:jc w:val="both"/>
      </w:pPr>
      <w:r>
        <w:t>A key observation is how firmly the House of Lords rejected the lower courts' more flexible, substance-based approach: even though the result meant unsecured creditors received nothing while the controlling shareholder recovered in priority as a secured creditor, the Lords treated legal certainty and the integrity of the incorporation process as more important than softening the outcome for parties who had, in truth, extended credit to a limited company.</w:t>
      </w:r>
    </w:p>
    <w:p w14:paraId="7D806D98" w14:textId="77777777" w:rsidR="007A5A97" w:rsidRDefault="00C00F5F">
      <w:pPr>
        <w:pStyle w:val="ListParagraph"/>
        <w:numPr>
          <w:ilvl w:val="0"/>
          <w:numId w:val="2"/>
        </w:numPr>
        <w:spacing w:after="100" w:line="290" w:lineRule="auto"/>
        <w:jc w:val="both"/>
      </w:pPr>
      <w:r>
        <w:t>As later doctrine on piercing the corporate veil demonstrates, the principle in Salomon is not absolute; courts retain a carefully limited power to look behind the corporate form in cases of fraud, sham, or evasion of existing obligations, showing that certainty and fairness continue to be balanced against one another in this area of law.</w:t>
      </w:r>
    </w:p>
    <w:p w14:paraId="42F94CF1" w14:textId="77777777" w:rsidR="007A5A97" w:rsidRDefault="00C00F5F">
      <w:pPr>
        <w:pStyle w:val="ListParagraph"/>
        <w:numPr>
          <w:ilvl w:val="0"/>
          <w:numId w:val="2"/>
        </w:numPr>
        <w:spacing w:after="100" w:line="290" w:lineRule="auto"/>
        <w:jc w:val="both"/>
      </w:pPr>
      <w:r>
        <w:t>The case remains instructive precisely because it sits at the foundation of modern company law, and because its reasoning on separate legal personality continues to underpin everything from single-founder startups to complex multinational corporate groups.</w:t>
      </w:r>
    </w:p>
    <w:p w14:paraId="7109829A" w14:textId="77777777" w:rsidR="007A5A97" w:rsidRDefault="00C00F5F">
      <w:pPr>
        <w:spacing w:after="160" w:line="300" w:lineRule="auto"/>
        <w:jc w:val="both"/>
      </w:pPr>
      <w:r>
        <w:t xml:space="preserve">For any student or practitioner of company law, Salomon v Salomon offers a compact but complete illustration of why the corporate veil, once properly drawn through valid incorporation, is treated </w:t>
      </w:r>
      <w:r>
        <w:lastRenderedPageBreak/>
        <w:t>as a fundamental and durable feature of the legal landscape, not a mere formality to be disregarded whenever ownership happens to be concentrated in a single individual.</w:t>
      </w:r>
    </w:p>
    <w:p w14:paraId="14E451F9" w14:textId="77777777" w:rsidR="007A5A97" w:rsidRDefault="00C00F5F">
      <w:pPr>
        <w:pStyle w:val="Heading2"/>
        <w:spacing w:before="220" w:after="120"/>
      </w:pPr>
      <w:r>
        <w:rPr>
          <w:b/>
          <w:bCs/>
          <w:color w:val="000000"/>
          <w:sz w:val="24"/>
          <w:szCs w:val="24"/>
        </w:rPr>
        <w:t>IRAC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7480"/>
      </w:tblGrid>
      <w:tr w:rsidR="007A5A97" w14:paraId="51C34077" w14:textId="77777777">
        <w:trPr>
          <w:tblHeader/>
        </w:trPr>
        <w:tc>
          <w:tcPr>
            <w:tcW w:w="1000" w:type="pct"/>
            <w:shd w:val="clear" w:color="auto" w:fill="D9D9D9"/>
            <w:tcMar>
              <w:top w:w="100" w:type="dxa"/>
              <w:left w:w="120" w:type="dxa"/>
              <w:bottom w:w="100" w:type="dxa"/>
              <w:right w:w="120" w:type="dxa"/>
            </w:tcMar>
            <w:vAlign w:val="center"/>
          </w:tcPr>
          <w:p w14:paraId="16297309" w14:textId="77777777" w:rsidR="007A5A97" w:rsidRDefault="00C00F5F">
            <w:r>
              <w:rPr>
                <w:b/>
                <w:bCs/>
              </w:rPr>
              <w:t>Element</w:t>
            </w:r>
          </w:p>
        </w:tc>
        <w:tc>
          <w:tcPr>
            <w:tcW w:w="1000" w:type="pct"/>
            <w:shd w:val="clear" w:color="auto" w:fill="D9D9D9"/>
            <w:tcMar>
              <w:top w:w="100" w:type="dxa"/>
              <w:left w:w="120" w:type="dxa"/>
              <w:bottom w:w="100" w:type="dxa"/>
              <w:right w:w="120" w:type="dxa"/>
            </w:tcMar>
            <w:vAlign w:val="center"/>
          </w:tcPr>
          <w:p w14:paraId="4F2ECEE0" w14:textId="77777777" w:rsidR="007A5A97" w:rsidRDefault="00C00F5F">
            <w:r>
              <w:rPr>
                <w:b/>
                <w:bCs/>
              </w:rPr>
              <w:t>Application to Salomon v Salomon</w:t>
            </w:r>
          </w:p>
        </w:tc>
      </w:tr>
      <w:tr w:rsidR="007A5A97" w14:paraId="2D4A57A6" w14:textId="77777777">
        <w:tc>
          <w:tcPr>
            <w:tcW w:w="1000" w:type="pct"/>
            <w:shd w:val="clear" w:color="auto" w:fill="D9D9D9"/>
            <w:tcMar>
              <w:top w:w="100" w:type="dxa"/>
              <w:left w:w="120" w:type="dxa"/>
              <w:bottom w:w="100" w:type="dxa"/>
              <w:right w:w="120" w:type="dxa"/>
            </w:tcMar>
            <w:vAlign w:val="center"/>
          </w:tcPr>
          <w:p w14:paraId="4A8CEDF2" w14:textId="77777777" w:rsidR="007A5A97" w:rsidRDefault="00C00F5F">
            <w:r>
              <w:rPr>
                <w:b/>
                <w:bCs/>
              </w:rPr>
              <w:t>Issue</w:t>
            </w:r>
          </w:p>
        </w:tc>
        <w:tc>
          <w:tcPr>
            <w:tcW w:w="4000" w:type="pct"/>
            <w:tcMar>
              <w:top w:w="100" w:type="dxa"/>
              <w:left w:w="120" w:type="dxa"/>
              <w:bottom w:w="100" w:type="dxa"/>
              <w:right w:w="120" w:type="dxa"/>
            </w:tcMar>
          </w:tcPr>
          <w:p w14:paraId="1B913927" w14:textId="77777777" w:rsidR="007A5A97" w:rsidRDefault="00C00F5F">
            <w:pPr>
              <w:jc w:val="both"/>
            </w:pPr>
            <w:r>
              <w:t>Is a validly incorporated company a legal entity separate from its shareholders, even where one shareholder owns almost all the shares and controls the business entirely?</w:t>
            </w:r>
          </w:p>
        </w:tc>
      </w:tr>
      <w:tr w:rsidR="007A5A97" w14:paraId="33A49513" w14:textId="77777777">
        <w:tc>
          <w:tcPr>
            <w:tcW w:w="1000" w:type="pct"/>
            <w:shd w:val="clear" w:color="auto" w:fill="D9D9D9"/>
            <w:tcMar>
              <w:top w:w="100" w:type="dxa"/>
              <w:left w:w="120" w:type="dxa"/>
              <w:bottom w:w="100" w:type="dxa"/>
              <w:right w:w="120" w:type="dxa"/>
            </w:tcMar>
            <w:vAlign w:val="center"/>
          </w:tcPr>
          <w:p w14:paraId="181143EA" w14:textId="77777777" w:rsidR="007A5A97" w:rsidRDefault="00C00F5F">
            <w:r>
              <w:rPr>
                <w:b/>
                <w:bCs/>
              </w:rPr>
              <w:t>Rule</w:t>
            </w:r>
          </w:p>
        </w:tc>
        <w:tc>
          <w:tcPr>
            <w:tcW w:w="4000" w:type="pct"/>
            <w:tcMar>
              <w:top w:w="100" w:type="dxa"/>
              <w:left w:w="120" w:type="dxa"/>
              <w:bottom w:w="100" w:type="dxa"/>
              <w:right w:w="120" w:type="dxa"/>
            </w:tcMar>
          </w:tcPr>
          <w:p w14:paraId="69671BDB" w14:textId="77777777" w:rsidR="007A5A97" w:rsidRDefault="00C00F5F">
            <w:pPr>
              <w:jc w:val="both"/>
            </w:pPr>
            <w:r>
              <w:t>A company incorporated in compliance with the Companies Act is a distinct legal person from its members; the degree of ownership or control held by any one shareholder does not, by itself, undermine that separate legal personality.</w:t>
            </w:r>
          </w:p>
        </w:tc>
      </w:tr>
      <w:tr w:rsidR="007A5A97" w14:paraId="1834D7C8" w14:textId="77777777">
        <w:tc>
          <w:tcPr>
            <w:tcW w:w="1000" w:type="pct"/>
            <w:shd w:val="clear" w:color="auto" w:fill="D9D9D9"/>
            <w:tcMar>
              <w:top w:w="100" w:type="dxa"/>
              <w:left w:w="120" w:type="dxa"/>
              <w:bottom w:w="100" w:type="dxa"/>
              <w:right w:w="120" w:type="dxa"/>
            </w:tcMar>
            <w:vAlign w:val="center"/>
          </w:tcPr>
          <w:p w14:paraId="4BF7BEB0" w14:textId="77777777" w:rsidR="007A5A97" w:rsidRDefault="00C00F5F">
            <w:r>
              <w:rPr>
                <w:b/>
                <w:bCs/>
              </w:rPr>
              <w:t>Application</w:t>
            </w:r>
          </w:p>
        </w:tc>
        <w:tc>
          <w:tcPr>
            <w:tcW w:w="4000" w:type="pct"/>
            <w:tcMar>
              <w:top w:w="100" w:type="dxa"/>
              <w:left w:w="120" w:type="dxa"/>
              <w:bottom w:w="100" w:type="dxa"/>
              <w:right w:w="120" w:type="dxa"/>
            </w:tcMar>
          </w:tcPr>
          <w:p w14:paraId="7A5B3608" w14:textId="77777777" w:rsidR="007A5A97" w:rsidRDefault="00C00F5F">
            <w:pPr>
              <w:jc w:val="both"/>
            </w:pPr>
            <w:r>
              <w:t>Salomon incorporated his business with seven subscribers as required by statute, holding nearly all the shares himself and taking secured debentures for the sale of his business; there was no fraud or sham in the incorporation.</w:t>
            </w:r>
          </w:p>
        </w:tc>
      </w:tr>
      <w:tr w:rsidR="007A5A97" w14:paraId="622F1331" w14:textId="77777777">
        <w:tc>
          <w:tcPr>
            <w:tcW w:w="1000" w:type="pct"/>
            <w:shd w:val="clear" w:color="auto" w:fill="D9D9D9"/>
            <w:tcMar>
              <w:top w:w="100" w:type="dxa"/>
              <w:left w:w="120" w:type="dxa"/>
              <w:bottom w:w="100" w:type="dxa"/>
              <w:right w:w="120" w:type="dxa"/>
            </w:tcMar>
            <w:vAlign w:val="center"/>
          </w:tcPr>
          <w:p w14:paraId="3E46C556" w14:textId="77777777" w:rsidR="007A5A97" w:rsidRDefault="00C00F5F">
            <w:r>
              <w:rPr>
                <w:b/>
                <w:bCs/>
              </w:rPr>
              <w:t>Conclusion</w:t>
            </w:r>
          </w:p>
        </w:tc>
        <w:tc>
          <w:tcPr>
            <w:tcW w:w="4000" w:type="pct"/>
            <w:tcMar>
              <w:top w:w="100" w:type="dxa"/>
              <w:left w:w="120" w:type="dxa"/>
              <w:bottom w:w="100" w:type="dxa"/>
              <w:right w:w="120" w:type="dxa"/>
            </w:tcMar>
          </w:tcPr>
          <w:p w14:paraId="3C0D3821" w14:textId="77777777" w:rsidR="007A5A97" w:rsidRDefault="00C00F5F">
            <w:pPr>
              <w:jc w:val="both"/>
            </w:pPr>
            <w:r>
              <w:t>A Salomon &amp; Co Ltd was a separate legal entity. Salomon was not personally liable for its debts, and his secured debentures took priority over the claims of the unsecured creditors.</w:t>
            </w:r>
          </w:p>
        </w:tc>
      </w:tr>
    </w:tbl>
    <w:p w14:paraId="43002A66" w14:textId="77777777" w:rsidR="00C00F5F" w:rsidRDefault="00C00F5F"/>
    <w:sectPr w:rsidR="00C00F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2690" w14:textId="77777777" w:rsidR="00FB4309" w:rsidRDefault="00FB4309">
      <w:r>
        <w:separator/>
      </w:r>
    </w:p>
  </w:endnote>
  <w:endnote w:type="continuationSeparator" w:id="0">
    <w:p w14:paraId="402CA7AC" w14:textId="77777777" w:rsidR="00FB4309" w:rsidRDefault="00FB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7FF6" w14:textId="77777777" w:rsidR="007A5A97" w:rsidRDefault="00C00F5F">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374E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A05E" w14:textId="77777777" w:rsidR="00FB4309" w:rsidRDefault="00FB4309">
      <w:r>
        <w:separator/>
      </w:r>
    </w:p>
  </w:footnote>
  <w:footnote w:type="continuationSeparator" w:id="0">
    <w:p w14:paraId="6D50DFB9" w14:textId="77777777" w:rsidR="00FB4309" w:rsidRDefault="00FB4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DDE8" w14:textId="77777777" w:rsidR="007A5A97" w:rsidRDefault="00C00F5F">
    <w:pPr>
      <w:jc w:val="right"/>
    </w:pPr>
    <w:r>
      <w:rPr>
        <w:i/>
        <w:iCs/>
        <w:color w:val="555555"/>
        <w:sz w:val="16"/>
        <w:szCs w:val="16"/>
      </w:rPr>
      <w:t>Salomon v Salomon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3B5"/>
    <w:multiLevelType w:val="hybridMultilevel"/>
    <w:tmpl w:val="28F8048C"/>
    <w:lvl w:ilvl="0" w:tplc="AE5CA01A">
      <w:start w:val="1"/>
      <w:numFmt w:val="bullet"/>
      <w:lvlText w:val="●"/>
      <w:lvlJc w:val="left"/>
      <w:pPr>
        <w:ind w:left="720" w:hanging="360"/>
      </w:pPr>
    </w:lvl>
    <w:lvl w:ilvl="1" w:tplc="B5BED3E8">
      <w:start w:val="1"/>
      <w:numFmt w:val="bullet"/>
      <w:lvlText w:val="○"/>
      <w:lvlJc w:val="left"/>
      <w:pPr>
        <w:ind w:left="1440" w:hanging="360"/>
      </w:pPr>
    </w:lvl>
    <w:lvl w:ilvl="2" w:tplc="FD78847E">
      <w:start w:val="1"/>
      <w:numFmt w:val="bullet"/>
      <w:lvlText w:val="■"/>
      <w:lvlJc w:val="left"/>
      <w:pPr>
        <w:ind w:left="2160" w:hanging="360"/>
      </w:pPr>
    </w:lvl>
    <w:lvl w:ilvl="3" w:tplc="49548F26">
      <w:start w:val="1"/>
      <w:numFmt w:val="bullet"/>
      <w:lvlText w:val="●"/>
      <w:lvlJc w:val="left"/>
      <w:pPr>
        <w:ind w:left="2880" w:hanging="360"/>
      </w:pPr>
    </w:lvl>
    <w:lvl w:ilvl="4" w:tplc="2B6A0360">
      <w:start w:val="1"/>
      <w:numFmt w:val="bullet"/>
      <w:lvlText w:val="○"/>
      <w:lvlJc w:val="left"/>
      <w:pPr>
        <w:ind w:left="3600" w:hanging="360"/>
      </w:pPr>
    </w:lvl>
    <w:lvl w:ilvl="5" w:tplc="EB8E4B8A">
      <w:start w:val="1"/>
      <w:numFmt w:val="bullet"/>
      <w:lvlText w:val="■"/>
      <w:lvlJc w:val="left"/>
      <w:pPr>
        <w:ind w:left="4320" w:hanging="360"/>
      </w:pPr>
    </w:lvl>
    <w:lvl w:ilvl="6" w:tplc="57501B90">
      <w:start w:val="1"/>
      <w:numFmt w:val="bullet"/>
      <w:lvlText w:val="●"/>
      <w:lvlJc w:val="left"/>
      <w:pPr>
        <w:ind w:left="5040" w:hanging="360"/>
      </w:pPr>
    </w:lvl>
    <w:lvl w:ilvl="7" w:tplc="CA465EA6">
      <w:start w:val="1"/>
      <w:numFmt w:val="bullet"/>
      <w:lvlText w:val="●"/>
      <w:lvlJc w:val="left"/>
      <w:pPr>
        <w:ind w:left="5760" w:hanging="360"/>
      </w:pPr>
    </w:lvl>
    <w:lvl w:ilvl="8" w:tplc="69ECE8AE">
      <w:start w:val="1"/>
      <w:numFmt w:val="bullet"/>
      <w:lvlText w:val="●"/>
      <w:lvlJc w:val="left"/>
      <w:pPr>
        <w:ind w:left="6480" w:hanging="360"/>
      </w:pPr>
    </w:lvl>
  </w:abstractNum>
  <w:abstractNum w:abstractNumId="1" w15:restartNumberingAfterBreak="0">
    <w:nsid w:val="68320C87"/>
    <w:multiLevelType w:val="hybridMultilevel"/>
    <w:tmpl w:val="A3267416"/>
    <w:lvl w:ilvl="0" w:tplc="07F0D5CE">
      <w:start w:val="1"/>
      <w:numFmt w:val="bullet"/>
      <w:lvlText w:val="•"/>
      <w:lvlJc w:val="left"/>
      <w:pPr>
        <w:ind w:left="540" w:hanging="260"/>
      </w:pPr>
      <w:rPr>
        <w:rFonts w:ascii="Times New Roman" w:eastAsia="Times New Roman" w:hAnsi="Times New Roman" w:cs="Times New Roman"/>
      </w:rPr>
    </w:lvl>
    <w:lvl w:ilvl="1" w:tplc="F900FFCE">
      <w:numFmt w:val="decimal"/>
      <w:lvlText w:val=""/>
      <w:lvlJc w:val="left"/>
    </w:lvl>
    <w:lvl w:ilvl="2" w:tplc="1A847BE4">
      <w:numFmt w:val="decimal"/>
      <w:lvlText w:val=""/>
      <w:lvlJc w:val="left"/>
    </w:lvl>
    <w:lvl w:ilvl="3" w:tplc="6EE6D130">
      <w:numFmt w:val="decimal"/>
      <w:lvlText w:val=""/>
      <w:lvlJc w:val="left"/>
    </w:lvl>
    <w:lvl w:ilvl="4" w:tplc="A25C4D7A">
      <w:numFmt w:val="decimal"/>
      <w:lvlText w:val=""/>
      <w:lvlJc w:val="left"/>
    </w:lvl>
    <w:lvl w:ilvl="5" w:tplc="B030D34E">
      <w:numFmt w:val="decimal"/>
      <w:lvlText w:val=""/>
      <w:lvlJc w:val="left"/>
    </w:lvl>
    <w:lvl w:ilvl="6" w:tplc="D04ECDF2">
      <w:numFmt w:val="decimal"/>
      <w:lvlText w:val=""/>
      <w:lvlJc w:val="left"/>
    </w:lvl>
    <w:lvl w:ilvl="7" w:tplc="77600E6C">
      <w:numFmt w:val="decimal"/>
      <w:lvlText w:val=""/>
      <w:lvlJc w:val="left"/>
    </w:lvl>
    <w:lvl w:ilvl="8" w:tplc="83CEF8C0">
      <w:numFmt w:val="decimal"/>
      <w:lvlText w:val=""/>
      <w:lvlJc w:val="left"/>
    </w:lvl>
  </w:abstractNum>
  <w:num w:numId="1" w16cid:durableId="1307050556">
    <w:abstractNumId w:val="0"/>
    <w:lvlOverride w:ilvl="0">
      <w:startOverride w:val="1"/>
    </w:lvlOverride>
  </w:num>
  <w:num w:numId="2" w16cid:durableId="577639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A97"/>
    <w:rsid w:val="001863F9"/>
    <w:rsid w:val="007A5A97"/>
    <w:rsid w:val="00B374EF"/>
    <w:rsid w:val="00B8689F"/>
    <w:rsid w:val="00C00F5F"/>
    <w:rsid w:val="00F95274"/>
    <w:rsid w:val="00FB4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2D41"/>
  <w15:docId w15:val="{190D5F7A-D054-48B7-97D9-41BF7E9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3088</Words>
  <Characters>17604</Characters>
  <Application>Microsoft Office Word</Application>
  <DocSecurity>0</DocSecurity>
  <Lines>146</Lines>
  <Paragraphs>41</Paragraphs>
  <ScaleCrop>false</ScaleCrop>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2</cp:revision>
  <dcterms:created xsi:type="dcterms:W3CDTF">2026-09-24T18:00:00Z</dcterms:created>
  <dcterms:modified xsi:type="dcterms:W3CDTF">2026-09-24T18:00:00Z</dcterms:modified>
</cp:coreProperties>
</file>