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8AF6" w14:textId="77777777" w:rsidR="00D11491" w:rsidRPr="00D11491" w:rsidRDefault="00D11491" w:rsidP="00A23B62">
      <w:pPr>
        <w:spacing w:after="240"/>
        <w:jc w:val="both"/>
        <w:rPr>
          <w:b/>
          <w:bCs/>
          <w:color w:val="000000" w:themeColor="text1"/>
          <w:sz w:val="72"/>
          <w:szCs w:val="72"/>
        </w:rPr>
      </w:pPr>
    </w:p>
    <w:p w14:paraId="749598F5" w14:textId="77777777" w:rsidR="00D11491" w:rsidRPr="00D11491" w:rsidRDefault="00D11491" w:rsidP="00D11491">
      <w:pPr>
        <w:spacing w:after="240"/>
        <w:jc w:val="center"/>
        <w:rPr>
          <w:b/>
          <w:bCs/>
          <w:color w:val="000000" w:themeColor="text1"/>
          <w:sz w:val="72"/>
          <w:szCs w:val="72"/>
        </w:rPr>
      </w:pPr>
    </w:p>
    <w:p w14:paraId="3F1A6017" w14:textId="77777777" w:rsidR="00D11491" w:rsidRPr="00D11491" w:rsidRDefault="00D11491" w:rsidP="00D11491">
      <w:pPr>
        <w:spacing w:after="240"/>
        <w:jc w:val="center"/>
        <w:rPr>
          <w:b/>
          <w:bCs/>
          <w:color w:val="000000" w:themeColor="text1"/>
          <w:sz w:val="72"/>
          <w:szCs w:val="72"/>
        </w:rPr>
      </w:pPr>
    </w:p>
    <w:p w14:paraId="47B7B955" w14:textId="2A19E95D" w:rsidR="00275359" w:rsidRPr="00D11491" w:rsidRDefault="00C82885" w:rsidP="00D11491">
      <w:pPr>
        <w:spacing w:after="240"/>
        <w:jc w:val="center"/>
        <w:rPr>
          <w:color w:val="000000" w:themeColor="text1"/>
          <w:sz w:val="72"/>
          <w:szCs w:val="72"/>
        </w:rPr>
      </w:pPr>
      <w:r w:rsidRPr="00D11491">
        <w:rPr>
          <w:b/>
          <w:bCs/>
          <w:color w:val="000000" w:themeColor="text1"/>
          <w:sz w:val="72"/>
          <w:szCs w:val="72"/>
        </w:rPr>
        <w:t>CASE ANALYSIS REPORT</w:t>
      </w:r>
    </w:p>
    <w:p w14:paraId="6E4DD24F" w14:textId="77777777" w:rsidR="00275359" w:rsidRPr="00D11491" w:rsidRDefault="00C82885" w:rsidP="00D11491">
      <w:pPr>
        <w:spacing w:after="240"/>
        <w:jc w:val="center"/>
        <w:rPr>
          <w:color w:val="000000" w:themeColor="text1"/>
        </w:rPr>
      </w:pPr>
      <w:r w:rsidRPr="00D11491">
        <w:rPr>
          <w:b/>
          <w:bCs/>
          <w:i/>
          <w:iCs/>
          <w:color w:val="000000" w:themeColor="text1"/>
          <w:sz w:val="26"/>
          <w:szCs w:val="26"/>
        </w:rPr>
        <w:t xml:space="preserve">Justice K.S. </w:t>
      </w:r>
      <w:proofErr w:type="spellStart"/>
      <w:r w:rsidRPr="00D11491">
        <w:rPr>
          <w:b/>
          <w:bCs/>
          <w:i/>
          <w:iCs/>
          <w:color w:val="000000" w:themeColor="text1"/>
          <w:sz w:val="26"/>
          <w:szCs w:val="26"/>
        </w:rPr>
        <w:t>Puttaswamy</w:t>
      </w:r>
      <w:proofErr w:type="spellEnd"/>
      <w:r w:rsidRPr="00D11491">
        <w:rPr>
          <w:b/>
          <w:bCs/>
          <w:i/>
          <w:iCs/>
          <w:color w:val="000000" w:themeColor="text1"/>
          <w:sz w:val="26"/>
          <w:szCs w:val="26"/>
        </w:rPr>
        <w:t xml:space="preserve"> (Retd.) v. Union of India [(2017) 10 SCC 1]</w:t>
      </w:r>
    </w:p>
    <w:p w14:paraId="3A8A1823" w14:textId="16717804" w:rsidR="00275359" w:rsidRPr="00D11491" w:rsidRDefault="00C82885" w:rsidP="00D11491">
      <w:pPr>
        <w:spacing w:after="160"/>
        <w:jc w:val="center"/>
        <w:rPr>
          <w:color w:val="000000" w:themeColor="text1"/>
        </w:rPr>
      </w:pPr>
      <w:r w:rsidRPr="00D11491">
        <w:rPr>
          <w:color w:val="000000" w:themeColor="text1"/>
        </w:rPr>
        <w:t xml:space="preserve">Title: Case Analysis --- Justice K.S. </w:t>
      </w:r>
      <w:proofErr w:type="spellStart"/>
      <w:r w:rsidRPr="00D11491">
        <w:rPr>
          <w:color w:val="000000" w:themeColor="text1"/>
        </w:rPr>
        <w:t>Puttaswamy</w:t>
      </w:r>
      <w:proofErr w:type="spellEnd"/>
      <w:r w:rsidRPr="00D11491">
        <w:rPr>
          <w:color w:val="000000" w:themeColor="text1"/>
        </w:rPr>
        <w:t xml:space="preserve"> (Retd.) v. Union of India (2017)</w:t>
      </w:r>
    </w:p>
    <w:p w14:paraId="540C566F" w14:textId="77777777" w:rsidR="00D11491" w:rsidRPr="00D11491" w:rsidRDefault="00D11491">
      <w:pPr>
        <w:spacing w:after="160"/>
        <w:rPr>
          <w:color w:val="000000" w:themeColor="text1"/>
        </w:rPr>
      </w:pPr>
    </w:p>
    <w:p w14:paraId="1744FB9B" w14:textId="77777777" w:rsidR="00D11491" w:rsidRPr="00D11491" w:rsidRDefault="00D11491">
      <w:pPr>
        <w:spacing w:after="160"/>
        <w:rPr>
          <w:color w:val="000000" w:themeColor="text1"/>
        </w:rPr>
      </w:pPr>
    </w:p>
    <w:p w14:paraId="46D4FA8D" w14:textId="77777777" w:rsidR="00D11491" w:rsidRPr="00D11491" w:rsidRDefault="00D11491" w:rsidP="00D11491">
      <w:pPr>
        <w:spacing w:after="160"/>
        <w:jc w:val="center"/>
        <w:rPr>
          <w:color w:val="000000" w:themeColor="text1"/>
        </w:rPr>
      </w:pPr>
    </w:p>
    <w:p w14:paraId="5F51890E" w14:textId="7FA6AB45" w:rsidR="00D11491" w:rsidRPr="00D11491" w:rsidRDefault="00D11491" w:rsidP="00D11491">
      <w:pPr>
        <w:spacing w:after="160"/>
        <w:jc w:val="center"/>
        <w:rPr>
          <w:color w:val="000000" w:themeColor="text1"/>
        </w:rPr>
      </w:pPr>
      <w:r w:rsidRPr="00D11491">
        <w:rPr>
          <w:color w:val="000000" w:themeColor="text1"/>
        </w:rPr>
        <w:t>Name: Manoj Kumar K</w:t>
      </w:r>
    </w:p>
    <w:p w14:paraId="44D643F8" w14:textId="223161DC" w:rsidR="00D11491" w:rsidRPr="00D11491" w:rsidRDefault="00D11491" w:rsidP="00D11491">
      <w:pPr>
        <w:spacing w:after="160"/>
        <w:jc w:val="center"/>
        <w:rPr>
          <w:color w:val="000000" w:themeColor="text1"/>
        </w:rPr>
      </w:pPr>
      <w:r w:rsidRPr="00D11491">
        <w:rPr>
          <w:color w:val="000000" w:themeColor="text1"/>
        </w:rPr>
        <w:t>Class: B.com FT</w:t>
      </w:r>
    </w:p>
    <w:p w14:paraId="69FE3663" w14:textId="77777777" w:rsidR="00D11491" w:rsidRPr="00D11491" w:rsidRDefault="00D11491">
      <w:pPr>
        <w:spacing w:after="160"/>
        <w:rPr>
          <w:color w:val="000000" w:themeColor="text1"/>
        </w:rPr>
      </w:pPr>
    </w:p>
    <w:p w14:paraId="4117E498" w14:textId="77777777" w:rsidR="00D11491" w:rsidRPr="00D11491" w:rsidRDefault="00D11491">
      <w:pPr>
        <w:spacing w:after="160"/>
        <w:rPr>
          <w:color w:val="000000" w:themeColor="text1"/>
        </w:rPr>
      </w:pPr>
    </w:p>
    <w:p w14:paraId="1B729855" w14:textId="77777777" w:rsidR="00D11491" w:rsidRPr="00D11491" w:rsidRDefault="00D11491">
      <w:pPr>
        <w:spacing w:after="160"/>
        <w:rPr>
          <w:color w:val="000000" w:themeColor="text1"/>
        </w:rPr>
      </w:pPr>
    </w:p>
    <w:p w14:paraId="49FE3329" w14:textId="77777777" w:rsidR="00D11491" w:rsidRPr="00D11491" w:rsidRDefault="00D11491">
      <w:pPr>
        <w:spacing w:after="160"/>
        <w:rPr>
          <w:color w:val="000000" w:themeColor="text1"/>
        </w:rPr>
      </w:pPr>
    </w:p>
    <w:p w14:paraId="1439CC63" w14:textId="77777777" w:rsidR="00D11491" w:rsidRPr="00D11491" w:rsidRDefault="00D11491">
      <w:pPr>
        <w:spacing w:after="160"/>
        <w:rPr>
          <w:color w:val="000000" w:themeColor="text1"/>
        </w:rPr>
      </w:pPr>
    </w:p>
    <w:p w14:paraId="4A85FC54" w14:textId="77777777" w:rsidR="00D11491" w:rsidRPr="00D11491" w:rsidRDefault="00D11491">
      <w:pPr>
        <w:spacing w:after="160"/>
        <w:rPr>
          <w:color w:val="000000" w:themeColor="text1"/>
        </w:rPr>
      </w:pPr>
    </w:p>
    <w:p w14:paraId="2B0C0E2F" w14:textId="77777777" w:rsidR="00D11491" w:rsidRPr="00D11491" w:rsidRDefault="00D11491">
      <w:pPr>
        <w:spacing w:after="160"/>
        <w:rPr>
          <w:color w:val="000000" w:themeColor="text1"/>
        </w:rPr>
      </w:pPr>
    </w:p>
    <w:p w14:paraId="053AAC4B" w14:textId="77777777" w:rsidR="00D11491" w:rsidRPr="00D11491" w:rsidRDefault="00D11491">
      <w:pPr>
        <w:spacing w:after="160"/>
        <w:rPr>
          <w:color w:val="000000" w:themeColor="text1"/>
        </w:rPr>
      </w:pPr>
    </w:p>
    <w:p w14:paraId="41903AFB" w14:textId="77777777" w:rsidR="00D11491" w:rsidRPr="00D11491" w:rsidRDefault="00D11491">
      <w:pPr>
        <w:spacing w:after="160"/>
        <w:rPr>
          <w:color w:val="000000" w:themeColor="text1"/>
        </w:rPr>
      </w:pPr>
    </w:p>
    <w:p w14:paraId="35B7B5DE" w14:textId="77777777" w:rsidR="00D11491" w:rsidRPr="00D11491" w:rsidRDefault="00D11491">
      <w:pPr>
        <w:spacing w:after="160"/>
        <w:rPr>
          <w:color w:val="000000" w:themeColor="text1"/>
        </w:rPr>
      </w:pPr>
    </w:p>
    <w:p w14:paraId="2D4683AB" w14:textId="77777777" w:rsidR="00D11491" w:rsidRPr="00D11491" w:rsidRDefault="00D11491">
      <w:pPr>
        <w:spacing w:after="160"/>
        <w:rPr>
          <w:color w:val="000000" w:themeColor="text1"/>
        </w:rPr>
      </w:pPr>
    </w:p>
    <w:p w14:paraId="04585483" w14:textId="77777777" w:rsidR="00D11491" w:rsidRPr="00D11491" w:rsidRDefault="00D11491">
      <w:pPr>
        <w:spacing w:after="160"/>
        <w:rPr>
          <w:color w:val="000000" w:themeColor="text1"/>
        </w:rPr>
      </w:pPr>
    </w:p>
    <w:p w14:paraId="0CC1BEC0" w14:textId="77777777" w:rsidR="00D11491" w:rsidRPr="00D11491" w:rsidRDefault="00D11491">
      <w:pPr>
        <w:spacing w:after="160"/>
        <w:rPr>
          <w:color w:val="000000" w:themeColor="text1"/>
        </w:rPr>
      </w:pPr>
    </w:p>
    <w:p w14:paraId="6FC2EE46" w14:textId="77777777" w:rsidR="00D11491" w:rsidRPr="00D11491" w:rsidRDefault="00D11491">
      <w:pPr>
        <w:spacing w:after="160"/>
        <w:rPr>
          <w:color w:val="000000" w:themeColor="text1"/>
        </w:rPr>
      </w:pPr>
    </w:p>
    <w:p w14:paraId="3EB9E9C7" w14:textId="77777777" w:rsidR="00D11491" w:rsidRPr="00D11491" w:rsidRDefault="00D11491">
      <w:pPr>
        <w:spacing w:after="160"/>
        <w:rPr>
          <w:color w:val="000000" w:themeColor="text1"/>
        </w:rPr>
      </w:pPr>
    </w:p>
    <w:p w14:paraId="5ECCBEDF"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lastRenderedPageBreak/>
        <w:t>1. Introduction</w:t>
      </w:r>
    </w:p>
    <w:p w14:paraId="6FC347C7"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1.1 Case Citation &amp; Jurisdiction</w:t>
      </w:r>
    </w:p>
    <w:p w14:paraId="31A5842C"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Case Name: </w:t>
      </w:r>
      <w:r w:rsidRPr="00D11491">
        <w:rPr>
          <w:color w:val="000000" w:themeColor="text1"/>
        </w:rPr>
        <w:t xml:space="preserve">Justice K.S. </w:t>
      </w:r>
      <w:proofErr w:type="spellStart"/>
      <w:r w:rsidRPr="00D11491">
        <w:rPr>
          <w:color w:val="000000" w:themeColor="text1"/>
        </w:rPr>
        <w:t>Puttaswamy</w:t>
      </w:r>
      <w:proofErr w:type="spellEnd"/>
      <w:r w:rsidRPr="00D11491">
        <w:rPr>
          <w:color w:val="000000" w:themeColor="text1"/>
        </w:rPr>
        <w:t xml:space="preserve"> (Retd.) and Another v. Union of India and Others</w:t>
      </w:r>
    </w:p>
    <w:p w14:paraId="35CC4E99"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Citation: </w:t>
      </w:r>
      <w:r w:rsidRPr="00D11491">
        <w:rPr>
          <w:color w:val="000000" w:themeColor="text1"/>
        </w:rPr>
        <w:t>(2017) 10 SCC 1; AIR 2017 SC 4161; Writ Petition (Civil) No. 494 of 2012</w:t>
      </w:r>
    </w:p>
    <w:p w14:paraId="79F00969"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Court: </w:t>
      </w:r>
      <w:r w:rsidRPr="00D11491">
        <w:rPr>
          <w:color w:val="000000" w:themeColor="text1"/>
        </w:rPr>
        <w:t>Supreme Court of India</w:t>
      </w:r>
    </w:p>
    <w:p w14:paraId="08A60C71"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Bench: </w:t>
      </w:r>
      <w:r w:rsidRPr="00D11491">
        <w:rPr>
          <w:color w:val="000000" w:themeColor="text1"/>
        </w:rPr>
        <w:t xml:space="preserve">A nine-judge Constitution Bench comprising Chief Justice J.S. </w:t>
      </w:r>
      <w:proofErr w:type="spellStart"/>
      <w:r w:rsidRPr="00D11491">
        <w:rPr>
          <w:color w:val="000000" w:themeColor="text1"/>
        </w:rPr>
        <w:t>Khehar</w:t>
      </w:r>
      <w:proofErr w:type="spellEnd"/>
      <w:r w:rsidRPr="00D11491">
        <w:rPr>
          <w:color w:val="000000" w:themeColor="text1"/>
        </w:rPr>
        <w:t xml:space="preserve"> and Justices J. </w:t>
      </w:r>
      <w:proofErr w:type="spellStart"/>
      <w:r w:rsidRPr="00D11491">
        <w:rPr>
          <w:color w:val="000000" w:themeColor="text1"/>
        </w:rPr>
        <w:t>Chelameswar</w:t>
      </w:r>
      <w:proofErr w:type="spellEnd"/>
      <w:r w:rsidRPr="00D11491">
        <w:rPr>
          <w:color w:val="000000" w:themeColor="text1"/>
        </w:rPr>
        <w:t>, S.A. Bobde, R.K. Agrawal, R.F. Nariman, A.M. Sapre, D.Y. Chandrachud, S.K. Kaul, and S. Abdul Nazeer</w:t>
      </w:r>
    </w:p>
    <w:p w14:paraId="6537F1F0"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Year of Judgment: </w:t>
      </w:r>
      <w:r w:rsidRPr="00D11491">
        <w:rPr>
          <w:color w:val="000000" w:themeColor="text1"/>
        </w:rPr>
        <w:t>2017 (decided on 24 August 2017)</w:t>
      </w:r>
    </w:p>
    <w:p w14:paraId="2E496871"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Prior Proceedings: </w:t>
      </w:r>
      <w:r w:rsidRPr="00D11491">
        <w:rPr>
          <w:color w:val="000000" w:themeColor="text1"/>
        </w:rPr>
        <w:t>The matter reached the nine-judge Bench because a three-judge Bench hearing challenges to the Aadhaar scheme found that two earlier decisions on the status of privacy under the Constitution --- one by an eight-judge Bench and one by a six-judge Bench --- could only be examined by a Bench of at least equal strength. The question of whether privacy is a fundamental right was accordingly referred upward before the underlying Aadhaar challenge could be decided on its merits.</w:t>
      </w:r>
    </w:p>
    <w:p w14:paraId="5138923D"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1.2 Brief Introduction to the Case</w:t>
      </w:r>
    </w:p>
    <w:p w14:paraId="024F0A2D" w14:textId="77777777" w:rsidR="00275359" w:rsidRPr="00D11491" w:rsidRDefault="00C82885" w:rsidP="00A23B62">
      <w:pPr>
        <w:spacing w:after="160"/>
        <w:jc w:val="both"/>
        <w:rPr>
          <w:color w:val="000000" w:themeColor="text1"/>
        </w:rPr>
      </w:pPr>
      <w:r w:rsidRPr="00D11491">
        <w:rPr>
          <w:color w:val="000000" w:themeColor="text1"/>
        </w:rPr>
        <w:t xml:space="preserve">Justice K.S. </w:t>
      </w:r>
      <w:proofErr w:type="spellStart"/>
      <w:r w:rsidRPr="00D11491">
        <w:rPr>
          <w:color w:val="000000" w:themeColor="text1"/>
        </w:rPr>
        <w:t>Puttaswamy</w:t>
      </w:r>
      <w:proofErr w:type="spellEnd"/>
      <w:r w:rsidRPr="00D11491">
        <w:rPr>
          <w:color w:val="000000" w:themeColor="text1"/>
        </w:rPr>
        <w:t xml:space="preserve"> v. Union of India, widely known as the Right to Privacy Case or the Aadhaar reference judgment, is among the most significant constitutional decisions delivered by the Supreme Court of India in the last three decades. The petition was filed by Justice K.S. Puttaswamy, a 91-year-old retired judge of the Karnataka High Court, together with other civil rights petitioners, challenging the constitutional validity of the Aadhaar scheme, under which the Union Government collected the biometric and demographic data of residents for the purpose of issuing a unique identification number.</w:t>
      </w:r>
    </w:p>
    <w:p w14:paraId="2D4615EC" w14:textId="77777777" w:rsidR="00275359" w:rsidRPr="00D11491" w:rsidRDefault="00C82885" w:rsidP="00A23B62">
      <w:pPr>
        <w:spacing w:after="160"/>
        <w:jc w:val="both"/>
        <w:rPr>
          <w:color w:val="000000" w:themeColor="text1"/>
        </w:rPr>
      </w:pPr>
      <w:r w:rsidRPr="00D11491">
        <w:rPr>
          <w:color w:val="000000" w:themeColor="text1"/>
        </w:rPr>
        <w:t>At its heart, the case posed a foundational constitutional question that earlier Benches of the Supreme Court had answered in the negative: does the Constitution of India guarantee a fundamental right to privacy at all, even though the word 'privacy' appears nowhere in its text? A unanimous nine-judge Bench answered that question decisively in the affirmative, holding that privacy is an intrinsic and inalienable part of the right to life and personal liberty under Article 21, and of the other freedoms guaranteed under Part III. In doing so, the Court overruled its own earlier precedent and laid the constitutional foundation on which the subsequent Aadhaar judgment, the decriminalisation of homosexuality, and India's data protection legislation would all be built.</w:t>
      </w:r>
    </w:p>
    <w:p w14:paraId="74C3D3B4"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t>2. Facts of the Case</w:t>
      </w:r>
    </w:p>
    <w:p w14:paraId="179D907C"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2.1 Chronological Summary of Events</w:t>
      </w:r>
    </w:p>
    <w:p w14:paraId="12BCB4B3"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2009-12 --- The Union Government began rolling out the Aadhaar scheme, under which the Unique Identification Authority of India (UIDAI) collected residents' biometric data (fingerprints and iris scans) and demographic details in exchange for a twelve-digit unique identity number, subsequently placed on a statutory footing through the Aadhaar (Targeted Delivery of Financial and Other Subsidies, Benefits and Services) Act, 2016.</w:t>
      </w:r>
    </w:p>
    <w:p w14:paraId="6C6CEDB9"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2012 --- Justice K.S. Puttaswamy, joined by other petitioners, filed Writ Petition (Civil) No. 494 of 2012 before the Supreme Court under Article 32, contending that the compulsory collection and storage of biometric data by the State violated citizens' right to privacy and exposed them to the risk of surveillance and misuse of sensitive personal information.</w:t>
      </w:r>
    </w:p>
    <w:p w14:paraId="29E8C2FA"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 xml:space="preserve">During the hearings --- The Union of India raised a preliminary objection: it argued that no fundamental right to privacy existed under the Constitution at all, relying squarely on two earlier decisions --- M.P. Sharma v. Satish Chandra (1954), decided by an eight-judge Bench, and </w:t>
      </w:r>
      <w:proofErr w:type="spellStart"/>
      <w:r w:rsidRPr="00D11491">
        <w:rPr>
          <w:color w:val="000000" w:themeColor="text1"/>
        </w:rPr>
        <w:t>Kharak</w:t>
      </w:r>
      <w:proofErr w:type="spellEnd"/>
      <w:r w:rsidRPr="00D11491">
        <w:rPr>
          <w:color w:val="000000" w:themeColor="text1"/>
        </w:rPr>
        <w:t xml:space="preserve"> Singh v. State of U.P. (1962), decided by a six-judge Bench --- both of which had held that the Constitution did not expressly protect a right to privacy.</w:t>
      </w:r>
    </w:p>
    <w:p w14:paraId="618CB288"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lastRenderedPageBreak/>
        <w:t xml:space="preserve">2015 --- A three-judge Bench of the Supreme Court, faced with this objection and with several later, smaller-Bench decisions that had assumed privacy to be a fundamental right, held that the conflict could only be resolved by a Bench of a strength equal to or greater than the bench in M.P. Sharma and </w:t>
      </w:r>
      <w:proofErr w:type="spellStart"/>
      <w:r w:rsidRPr="00D11491">
        <w:rPr>
          <w:color w:val="000000" w:themeColor="text1"/>
        </w:rPr>
        <w:t>Kharak</w:t>
      </w:r>
      <w:proofErr w:type="spellEnd"/>
      <w:r w:rsidRPr="00D11491">
        <w:rPr>
          <w:color w:val="000000" w:themeColor="text1"/>
        </w:rPr>
        <w:t xml:space="preserve"> Singh. The question of law was accordingly referred to a larger Bench.</w:t>
      </w:r>
    </w:p>
    <w:p w14:paraId="6DA9F0B5"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2017 --- A nine-judge Constitution Bench, led by Chief Justice J.S. Khehar, was constituted specifically to decide the threshold constitutional question, independent of the merits of the Aadhaar scheme itself, which was left for determination by a separate Bench.</w:t>
      </w:r>
    </w:p>
    <w:p w14:paraId="2B843FC6"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 xml:space="preserve">24 August 2017 --- The nine-judge Bench delivered a unanimous verdict (6 separate concurring opinions, no dissent), holding that the right to privacy is a fundamental right protected under the Constitution, and expressly overruling M.P. Sharma and </w:t>
      </w:r>
      <w:proofErr w:type="spellStart"/>
      <w:r w:rsidRPr="00D11491">
        <w:rPr>
          <w:color w:val="000000" w:themeColor="text1"/>
        </w:rPr>
        <w:t>Kharak</w:t>
      </w:r>
      <w:proofErr w:type="spellEnd"/>
      <w:r w:rsidRPr="00D11491">
        <w:rPr>
          <w:color w:val="000000" w:themeColor="text1"/>
        </w:rPr>
        <w:t xml:space="preserve"> Singh to the extent they held otherwise.</w:t>
      </w:r>
    </w:p>
    <w:p w14:paraId="0B8F57B0"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2.2 Material Constitutional Context</w:t>
      </w:r>
    </w:p>
    <w:p w14:paraId="1523BCBA" w14:textId="77777777" w:rsidR="00275359" w:rsidRPr="00D11491" w:rsidRDefault="00C82885" w:rsidP="00A23B62">
      <w:pPr>
        <w:spacing w:after="160"/>
        <w:jc w:val="both"/>
        <w:rPr>
          <w:color w:val="000000" w:themeColor="text1"/>
        </w:rPr>
      </w:pPr>
      <w:r w:rsidRPr="00D11491">
        <w:rPr>
          <w:color w:val="000000" w:themeColor="text1"/>
        </w:rPr>
        <w:t>Unlike an ordinary civil or criminal dispute between private parties, this case arose out of a direct constitutional confrontation between an individual citizen's claimed liberty and the administrative machinery of the State. There was no contract, no commercial bargain, and no private wrongdoing to be assessed --- only the question of whether a vast, technology-driven identification programme touching hundreds of millions of residents could be reconciled with the constitutional guarantee of personal liberty.</w:t>
      </w:r>
    </w:p>
    <w:p w14:paraId="170BF17B"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The Aadhaar scheme's biometric database was, by its nature, centralised and searchable, distinguishing the privacy concern here from the isolated, one-off intrusions considered in earlier privacy cases.</w:t>
      </w:r>
    </w:p>
    <w:p w14:paraId="403BC138"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The State's core justification for the scheme --- efficient, leak-proof delivery of welfare subsidies and benefits --- meant the Court could not simply prohibit data collection outright; it had to develop a framework capable of weighing individual liberty against legitimate governmental objectives.</w:t>
      </w:r>
    </w:p>
    <w:p w14:paraId="4F704A66"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 xml:space="preserve">Because the reference Bench was asked to resolve only the threshold question of whether privacy is a fundamental right, the constitutional validity of the Aadhaar Act's specific provisions was left to be decided separately, in the 2018 Aadhaar judgment (Justice K.S. </w:t>
      </w:r>
      <w:proofErr w:type="spellStart"/>
      <w:r w:rsidRPr="00D11491">
        <w:rPr>
          <w:color w:val="000000" w:themeColor="text1"/>
        </w:rPr>
        <w:t>Puttaswamy</w:t>
      </w:r>
      <w:proofErr w:type="spellEnd"/>
      <w:r w:rsidRPr="00D11491">
        <w:rPr>
          <w:color w:val="000000" w:themeColor="text1"/>
        </w:rPr>
        <w:t xml:space="preserve"> v. Union of India, (2019) 1 SCC 1) --- a materially different, later stage of the same litigation.</w:t>
      </w:r>
    </w:p>
    <w:p w14:paraId="21E308B8"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t>3. Legal Issue</w:t>
      </w:r>
    </w:p>
    <w:p w14:paraId="1DD23045"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3.1 Primary Question of Law</w:t>
      </w:r>
    </w:p>
    <w:p w14:paraId="23928E1A" w14:textId="77777777" w:rsidR="00275359" w:rsidRPr="00D11491" w:rsidRDefault="00C82885" w:rsidP="00A23B62">
      <w:pPr>
        <w:spacing w:after="160"/>
        <w:jc w:val="both"/>
        <w:rPr>
          <w:color w:val="000000" w:themeColor="text1"/>
        </w:rPr>
      </w:pPr>
      <w:r w:rsidRPr="00D11491">
        <w:rPr>
          <w:color w:val="000000" w:themeColor="text1"/>
        </w:rPr>
        <w:t>Whether the right to privacy is a fundamental right guaranteed to the citizens of India under Part III of the Constitution, and, if so, the source and contours of that right.</w:t>
      </w:r>
    </w:p>
    <w:p w14:paraId="4862366A" w14:textId="77777777" w:rsidR="00275359" w:rsidRPr="00D11491" w:rsidRDefault="00C82885" w:rsidP="00A23B62">
      <w:pPr>
        <w:spacing w:after="160"/>
        <w:jc w:val="both"/>
        <w:rPr>
          <w:color w:val="000000" w:themeColor="text1"/>
        </w:rPr>
      </w:pPr>
      <w:r w:rsidRPr="00D11491">
        <w:rPr>
          <w:color w:val="000000" w:themeColor="text1"/>
        </w:rPr>
        <w:t>This primary question resolved itself, before the nine-judge Bench, into three distinct sub-issues:</w:t>
      </w:r>
    </w:p>
    <w:p w14:paraId="7ACE5878"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 xml:space="preserve">Whether M.P. Sharma v. Satish Chandra (1954) and </w:t>
      </w:r>
      <w:proofErr w:type="spellStart"/>
      <w:r w:rsidRPr="00D11491">
        <w:rPr>
          <w:color w:val="000000" w:themeColor="text1"/>
        </w:rPr>
        <w:t>Kharak</w:t>
      </w:r>
      <w:proofErr w:type="spellEnd"/>
      <w:r w:rsidRPr="00D11491">
        <w:rPr>
          <w:color w:val="000000" w:themeColor="text1"/>
        </w:rPr>
        <w:t xml:space="preserve"> Singh v. State of U.P. (1962), which had held that the Constitution does not protect a right to privacy, correctly stated the law and should continue to bind smaller Benches.</w:t>
      </w:r>
    </w:p>
    <w:p w14:paraId="5924FD3C"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Whether privacy, if it exists as a right, is founded in Article 21's guarantee of life and personal liberty alone, or draws additionally on the other freedoms in Part III, including Articles 14 and 19.</w:t>
      </w:r>
    </w:p>
    <w:p w14:paraId="7B13DA8F" w14:textId="77777777" w:rsidR="00275359" w:rsidRDefault="00C82885" w:rsidP="00A23B62">
      <w:pPr>
        <w:pStyle w:val="ListParagraph"/>
        <w:numPr>
          <w:ilvl w:val="0"/>
          <w:numId w:val="2"/>
        </w:numPr>
        <w:spacing w:after="120"/>
        <w:jc w:val="both"/>
        <w:rPr>
          <w:color w:val="000000" w:themeColor="text1"/>
        </w:rPr>
      </w:pPr>
      <w:r w:rsidRPr="00D11491">
        <w:rPr>
          <w:color w:val="000000" w:themeColor="text1"/>
        </w:rPr>
        <w:t>Whether, and on what constitutional test, the State may lawfully restrict or interfere with an individual's privacy through programmes such as Aadhaar.</w:t>
      </w:r>
    </w:p>
    <w:p w14:paraId="374AACCA" w14:textId="77777777" w:rsidR="00D11491" w:rsidRDefault="00D11491" w:rsidP="00A23B62">
      <w:pPr>
        <w:spacing w:after="120"/>
        <w:jc w:val="both"/>
        <w:rPr>
          <w:color w:val="000000" w:themeColor="text1"/>
        </w:rPr>
      </w:pPr>
    </w:p>
    <w:p w14:paraId="54A4C09B" w14:textId="77777777" w:rsidR="00D11491" w:rsidRDefault="00D11491" w:rsidP="00A23B62">
      <w:pPr>
        <w:spacing w:after="120"/>
        <w:jc w:val="both"/>
        <w:rPr>
          <w:color w:val="000000" w:themeColor="text1"/>
        </w:rPr>
      </w:pPr>
    </w:p>
    <w:p w14:paraId="2ACD35A2" w14:textId="77777777" w:rsidR="00D11491" w:rsidRDefault="00D11491" w:rsidP="00A23B62">
      <w:pPr>
        <w:spacing w:after="120"/>
        <w:jc w:val="both"/>
        <w:rPr>
          <w:color w:val="000000" w:themeColor="text1"/>
        </w:rPr>
      </w:pPr>
    </w:p>
    <w:p w14:paraId="1BD54C54" w14:textId="77777777" w:rsidR="00D11491" w:rsidRPr="00D11491" w:rsidRDefault="00D11491" w:rsidP="00A23B62">
      <w:pPr>
        <w:spacing w:after="120"/>
        <w:jc w:val="both"/>
        <w:rPr>
          <w:color w:val="000000" w:themeColor="text1"/>
        </w:rPr>
      </w:pPr>
    </w:p>
    <w:p w14:paraId="43B49224"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lastRenderedPageBreak/>
        <w:t>3.2 Points of Contention</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20"/>
      </w:tblGrid>
      <w:tr w:rsidR="00275359" w:rsidRPr="00D11491" w14:paraId="31393E72" w14:textId="77777777">
        <w:tc>
          <w:tcPr>
            <w:tcW w:w="2600" w:type="dxa"/>
            <w:shd w:val="clear" w:color="auto" w:fill="D9D9D9"/>
            <w:tcMar>
              <w:top w:w="100" w:type="dxa"/>
              <w:left w:w="120" w:type="dxa"/>
              <w:bottom w:w="100" w:type="dxa"/>
              <w:right w:w="120" w:type="dxa"/>
            </w:tcMar>
          </w:tcPr>
          <w:p w14:paraId="01574207" w14:textId="77777777" w:rsidR="00275359" w:rsidRPr="00D11491" w:rsidRDefault="00C82885" w:rsidP="00A23B62">
            <w:pPr>
              <w:jc w:val="both"/>
              <w:rPr>
                <w:color w:val="000000" w:themeColor="text1"/>
              </w:rPr>
            </w:pPr>
            <w:r w:rsidRPr="00D11491">
              <w:rPr>
                <w:b/>
                <w:bCs/>
                <w:color w:val="000000" w:themeColor="text1"/>
              </w:rPr>
              <w:t>Party</w:t>
            </w:r>
          </w:p>
        </w:tc>
        <w:tc>
          <w:tcPr>
            <w:tcW w:w="7420" w:type="dxa"/>
            <w:shd w:val="clear" w:color="auto" w:fill="D9D9D9"/>
            <w:tcMar>
              <w:top w:w="100" w:type="dxa"/>
              <w:left w:w="120" w:type="dxa"/>
              <w:bottom w:w="100" w:type="dxa"/>
              <w:right w:w="120" w:type="dxa"/>
            </w:tcMar>
          </w:tcPr>
          <w:p w14:paraId="0B8CBCF2" w14:textId="77777777" w:rsidR="00275359" w:rsidRPr="00D11491" w:rsidRDefault="00C82885" w:rsidP="00A23B62">
            <w:pPr>
              <w:jc w:val="both"/>
              <w:rPr>
                <w:color w:val="000000" w:themeColor="text1"/>
              </w:rPr>
            </w:pPr>
            <w:r w:rsidRPr="00D11491">
              <w:rPr>
                <w:b/>
                <w:bCs/>
                <w:color w:val="000000" w:themeColor="text1"/>
              </w:rPr>
              <w:t>Argument</w:t>
            </w:r>
          </w:p>
        </w:tc>
      </w:tr>
      <w:tr w:rsidR="00275359" w:rsidRPr="00D11491" w14:paraId="09E97D81" w14:textId="77777777">
        <w:tc>
          <w:tcPr>
            <w:tcW w:w="2600" w:type="dxa"/>
            <w:tcMar>
              <w:top w:w="100" w:type="dxa"/>
              <w:left w:w="120" w:type="dxa"/>
              <w:bottom w:w="100" w:type="dxa"/>
              <w:right w:w="120" w:type="dxa"/>
            </w:tcMar>
          </w:tcPr>
          <w:p w14:paraId="7C1D7909" w14:textId="77777777" w:rsidR="00275359" w:rsidRPr="00D11491" w:rsidRDefault="00C82885" w:rsidP="00A23B62">
            <w:pPr>
              <w:jc w:val="both"/>
              <w:rPr>
                <w:color w:val="000000" w:themeColor="text1"/>
              </w:rPr>
            </w:pPr>
            <w:r w:rsidRPr="00D11491">
              <w:rPr>
                <w:color w:val="000000" w:themeColor="text1"/>
              </w:rPr>
              <w:t xml:space="preserve">Petitioners (Justice K.S. </w:t>
            </w:r>
            <w:proofErr w:type="spellStart"/>
            <w:r w:rsidRPr="00D11491">
              <w:rPr>
                <w:color w:val="000000" w:themeColor="text1"/>
              </w:rPr>
              <w:t>Puttaswamy</w:t>
            </w:r>
            <w:proofErr w:type="spellEnd"/>
            <w:r w:rsidRPr="00D11491">
              <w:rPr>
                <w:color w:val="000000" w:themeColor="text1"/>
              </w:rPr>
              <w:t xml:space="preserve"> and others)</w:t>
            </w:r>
          </w:p>
        </w:tc>
        <w:tc>
          <w:tcPr>
            <w:tcW w:w="7420" w:type="dxa"/>
            <w:tcMar>
              <w:top w:w="100" w:type="dxa"/>
              <w:left w:w="120" w:type="dxa"/>
              <w:bottom w:w="100" w:type="dxa"/>
              <w:right w:w="120" w:type="dxa"/>
            </w:tcMar>
          </w:tcPr>
          <w:p w14:paraId="11B939C2" w14:textId="77777777" w:rsidR="00275359" w:rsidRPr="00D11491" w:rsidRDefault="00C82885" w:rsidP="00A23B62">
            <w:pPr>
              <w:jc w:val="both"/>
              <w:rPr>
                <w:color w:val="000000" w:themeColor="text1"/>
              </w:rPr>
            </w:pPr>
            <w:r w:rsidRPr="00D11491">
              <w:rPr>
                <w:color w:val="000000" w:themeColor="text1"/>
              </w:rPr>
              <w:t>Privacy is inherent in human dignity and is intricately linked to the guarantees of life, liberty, equality, and freedom of expression; it deserves recognition as a fundamental right under Article 21 and Part III generally. Compulsory biometric data collection under Aadhaar, without adequate statutory safeguards, exposed citizens to the risk of surveillance, profiling, and misuse of sensitive personal data, and could not be justified in the absence of a constitutionally protected privacy interest against which such State action could be tested.</w:t>
            </w:r>
          </w:p>
        </w:tc>
      </w:tr>
      <w:tr w:rsidR="00275359" w:rsidRPr="00D11491" w14:paraId="2709E943" w14:textId="77777777">
        <w:tc>
          <w:tcPr>
            <w:tcW w:w="2600" w:type="dxa"/>
            <w:tcMar>
              <w:top w:w="100" w:type="dxa"/>
              <w:left w:w="120" w:type="dxa"/>
              <w:bottom w:w="100" w:type="dxa"/>
              <w:right w:w="120" w:type="dxa"/>
            </w:tcMar>
          </w:tcPr>
          <w:p w14:paraId="5D806FEA" w14:textId="77777777" w:rsidR="00275359" w:rsidRPr="00D11491" w:rsidRDefault="00C82885" w:rsidP="00A23B62">
            <w:pPr>
              <w:jc w:val="both"/>
              <w:rPr>
                <w:color w:val="000000" w:themeColor="text1"/>
              </w:rPr>
            </w:pPr>
            <w:r w:rsidRPr="00D11491">
              <w:rPr>
                <w:color w:val="000000" w:themeColor="text1"/>
              </w:rPr>
              <w:t>Union of India (Respondent)</w:t>
            </w:r>
          </w:p>
        </w:tc>
        <w:tc>
          <w:tcPr>
            <w:tcW w:w="7420" w:type="dxa"/>
            <w:tcMar>
              <w:top w:w="100" w:type="dxa"/>
              <w:left w:w="120" w:type="dxa"/>
              <w:bottom w:w="100" w:type="dxa"/>
              <w:right w:w="120" w:type="dxa"/>
            </w:tcMar>
          </w:tcPr>
          <w:p w14:paraId="23524ABD" w14:textId="77777777" w:rsidR="00275359" w:rsidRPr="00D11491" w:rsidRDefault="00C82885" w:rsidP="00A23B62">
            <w:pPr>
              <w:jc w:val="both"/>
              <w:rPr>
                <w:color w:val="000000" w:themeColor="text1"/>
              </w:rPr>
            </w:pPr>
            <w:r w:rsidRPr="00D11491">
              <w:rPr>
                <w:color w:val="000000" w:themeColor="text1"/>
              </w:rPr>
              <w:t xml:space="preserve">M.P. Sharma and </w:t>
            </w:r>
            <w:proofErr w:type="spellStart"/>
            <w:r w:rsidRPr="00D11491">
              <w:rPr>
                <w:color w:val="000000" w:themeColor="text1"/>
              </w:rPr>
              <w:t>Kharak</w:t>
            </w:r>
            <w:proofErr w:type="spellEnd"/>
            <w:r w:rsidRPr="00D11491">
              <w:rPr>
                <w:color w:val="000000" w:themeColor="text1"/>
              </w:rPr>
              <w:t xml:space="preserve"> Singh, having been decided by larger Benches, bound the Court and had settled the position that the Constitution does not expressly guarantee a right to privacy; any later, smaller-Bench decisions assuming otherwise could not be relied upon. Further, the recognition or expansion of fundamental rights was properly a matter for Parliament through the legislative and constitutional amendment process, not for the judiciary to create by interpretation, and the Aadhaar scheme in any event served the legitimate and compelling purpose of ensuring targeted, efficient delivery of welfare subsidies.</w:t>
            </w:r>
          </w:p>
        </w:tc>
      </w:tr>
    </w:tbl>
    <w:p w14:paraId="42467672"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t>4. Judgment</w:t>
      </w:r>
    </w:p>
    <w:p w14:paraId="243ADBB7"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4.1 Court's Decision</w:t>
      </w:r>
    </w:p>
    <w:p w14:paraId="010BCF54" w14:textId="77777777" w:rsidR="00275359" w:rsidRPr="00D11491" w:rsidRDefault="00C82885" w:rsidP="00A23B62">
      <w:pPr>
        <w:spacing w:after="160"/>
        <w:jc w:val="both"/>
        <w:rPr>
          <w:color w:val="000000" w:themeColor="text1"/>
        </w:rPr>
      </w:pPr>
      <w:r w:rsidRPr="00D11491">
        <w:rPr>
          <w:color w:val="000000" w:themeColor="text1"/>
        </w:rPr>
        <w:t xml:space="preserve">The nine-judge Constitution Bench unanimously (9-0) held that the right to privacy is a fundamental right, protected as an intrinsic part of the right to life and personal liberty under Article 21, and as part of the freedoms guaranteed by Part III of the Constitution. The Court expressly overruled M.P. Sharma v. Satish Chandra (1954) and </w:t>
      </w:r>
      <w:proofErr w:type="spellStart"/>
      <w:r w:rsidRPr="00D11491">
        <w:rPr>
          <w:color w:val="000000" w:themeColor="text1"/>
        </w:rPr>
        <w:t>Kharak</w:t>
      </w:r>
      <w:proofErr w:type="spellEnd"/>
      <w:r w:rsidRPr="00D11491">
        <w:rPr>
          <w:color w:val="000000" w:themeColor="text1"/>
        </w:rPr>
        <w:t xml:space="preserve"> Singh v. State of U.P. (1962) to the extent that those decisions held privacy was not a constitutionally protected right, and also overruled the majority view in ADM Jabalpur v. </w:t>
      </w:r>
      <w:proofErr w:type="spellStart"/>
      <w:r w:rsidRPr="00D11491">
        <w:rPr>
          <w:color w:val="000000" w:themeColor="text1"/>
        </w:rPr>
        <w:t>Shivkant</w:t>
      </w:r>
      <w:proofErr w:type="spellEnd"/>
      <w:r w:rsidRPr="00D11491">
        <w:rPr>
          <w:color w:val="000000" w:themeColor="text1"/>
        </w:rPr>
        <w:t xml:space="preserve"> Shukla (1976) insofar as it was inconsistent with this holding. All nine judges delivered concurring opinions --- six separate judgments in total --- with the lead judgment authored by Dr. D.Y. Chandrachud J. on behalf of himself and three other judges.</w:t>
      </w:r>
    </w:p>
    <w:p w14:paraId="3D1D86CF"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4.2 Ratio Decidendi (Judicial Reasoning)</w:t>
      </w:r>
    </w:p>
    <w:p w14:paraId="30C97D02" w14:textId="77777777" w:rsidR="00275359" w:rsidRPr="00D11491" w:rsidRDefault="00C82885" w:rsidP="00A23B62">
      <w:pPr>
        <w:spacing w:after="160"/>
        <w:jc w:val="both"/>
        <w:rPr>
          <w:color w:val="000000" w:themeColor="text1"/>
        </w:rPr>
      </w:pPr>
      <w:r w:rsidRPr="00D11491">
        <w:rPr>
          <w:color w:val="000000" w:themeColor="text1"/>
        </w:rPr>
        <w:t>Although each concurring opinion approached the question from a different angle, several connected threads run through the judgments and together form the ratio decidendi of the case:</w:t>
      </w:r>
    </w:p>
    <w:p w14:paraId="3CCD7172"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Privacy is not a freestanding, extra-constitutional claim but an intrinsic constitutional guarantee. </w:t>
      </w:r>
      <w:r w:rsidRPr="00D11491">
        <w:rPr>
          <w:color w:val="000000" w:themeColor="text1"/>
        </w:rPr>
        <w:t>The Bench held that privacy is not conferred upon the individual by the Constitution but is a natural, inalienable right recognised and protected by it, arising from the inherent dignity and autonomy of the individual, and traceable to Article 21 and the other freedoms in Part III read together.</w:t>
      </w:r>
    </w:p>
    <w:p w14:paraId="3085F356"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M.P. Sharma and </w:t>
      </w:r>
      <w:proofErr w:type="spellStart"/>
      <w:r w:rsidRPr="00D11491">
        <w:rPr>
          <w:b/>
          <w:bCs/>
          <w:color w:val="000000" w:themeColor="text1"/>
        </w:rPr>
        <w:t>Kharak</w:t>
      </w:r>
      <w:proofErr w:type="spellEnd"/>
      <w:r w:rsidRPr="00D11491">
        <w:rPr>
          <w:b/>
          <w:bCs/>
          <w:color w:val="000000" w:themeColor="text1"/>
        </w:rPr>
        <w:t xml:space="preserve"> Singh proceeded on an erroneous understanding of fundamental rights. </w:t>
      </w:r>
      <w:r w:rsidRPr="00D11491">
        <w:rPr>
          <w:color w:val="000000" w:themeColor="text1"/>
        </w:rPr>
        <w:t>Both decisions had treated the fundamental rights chapter as a set of discrete, watertight compartments and had failed to appreciate that liberty and dignity under Article 21 necessarily encompass a right to privacy; that premise, the Court held, could not survive the later, more expansive understanding of Article 21 developed since Maneka Gandhi v. Union of India (1978).</w:t>
      </w:r>
    </w:p>
    <w:p w14:paraId="11075FEC" w14:textId="6488AA8E" w:rsidR="00275359"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Privacy is not an absolute right, but a qualified one, always susceptible to reasonable restriction by the State. </w:t>
      </w:r>
      <w:r w:rsidRPr="00D11491">
        <w:rPr>
          <w:color w:val="000000" w:themeColor="text1"/>
        </w:rPr>
        <w:t>The Court held that any invasion of privacy by the State must be tested against a structured three-fold standard of legality, legitimate State aim, and proportionality, rather than being either automatically prohibited or automatically permitted.</w:t>
      </w:r>
    </w:p>
    <w:p w14:paraId="6B2CD8B9" w14:textId="77777777" w:rsidR="00D11491" w:rsidRDefault="00D11491" w:rsidP="00A23B62">
      <w:pPr>
        <w:spacing w:after="120"/>
        <w:jc w:val="both"/>
        <w:rPr>
          <w:color w:val="000000" w:themeColor="text1"/>
        </w:rPr>
      </w:pPr>
    </w:p>
    <w:p w14:paraId="096DE888" w14:textId="77777777" w:rsidR="00D11491" w:rsidRDefault="00D11491" w:rsidP="00A23B62">
      <w:pPr>
        <w:spacing w:after="120"/>
        <w:jc w:val="both"/>
        <w:rPr>
          <w:color w:val="000000" w:themeColor="text1"/>
        </w:rPr>
      </w:pPr>
    </w:p>
    <w:p w14:paraId="62F7A8BD"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lastRenderedPageBreak/>
        <w:t>5. Legal Principle: Constitutional Privacy Analysis</w:t>
      </w:r>
    </w:p>
    <w:p w14:paraId="521149DA" w14:textId="77777777" w:rsidR="00275359" w:rsidRPr="00D11491" w:rsidRDefault="00C82885" w:rsidP="00A23B62">
      <w:pPr>
        <w:spacing w:after="160"/>
        <w:jc w:val="both"/>
        <w:rPr>
          <w:color w:val="000000" w:themeColor="text1"/>
        </w:rPr>
      </w:pPr>
      <w:r w:rsidRPr="00D11491">
        <w:rPr>
          <w:color w:val="000000" w:themeColor="text1"/>
        </w:rPr>
        <w:t xml:space="preserve">This section breaks down the key legal principle established in </w:t>
      </w:r>
      <w:proofErr w:type="spellStart"/>
      <w:r w:rsidRPr="00D11491">
        <w:rPr>
          <w:color w:val="000000" w:themeColor="text1"/>
        </w:rPr>
        <w:t>Puttaswamy</w:t>
      </w:r>
      <w:proofErr w:type="spellEnd"/>
      <w:r w:rsidRPr="00D11491">
        <w:rPr>
          <w:color w:val="000000" w:themeColor="text1"/>
        </w:rPr>
        <w:t xml:space="preserve"> by applying the specific mechanics of the facets of privacy identified by the Court and the proportionality test it laid down for restricting them.</w:t>
      </w:r>
    </w:p>
    <w:p w14:paraId="7C4B1F50"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5.1 The Three Recognised Facets of Privacy</w:t>
      </w:r>
    </w:p>
    <w:p w14:paraId="68FD2836" w14:textId="77777777" w:rsidR="00275359" w:rsidRPr="00D11491" w:rsidRDefault="00C82885" w:rsidP="00A23B62">
      <w:pPr>
        <w:spacing w:after="160"/>
        <w:jc w:val="both"/>
        <w:rPr>
          <w:color w:val="000000" w:themeColor="text1"/>
        </w:rPr>
      </w:pPr>
      <w:r w:rsidRPr="00D11491">
        <w:rPr>
          <w:color w:val="000000" w:themeColor="text1"/>
        </w:rPr>
        <w:t>A foundational contribution of the judgment is its recognition that privacy is not a single, undifferentiated interest but a bundle of related guarantees, each engaged differently by different kinds of State or private action.</w:t>
      </w:r>
    </w:p>
    <w:p w14:paraId="52FC8C0A"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Spatial Privacy: </w:t>
      </w:r>
      <w:r w:rsidRPr="00D11491">
        <w:rPr>
          <w:color w:val="000000" w:themeColor="text1"/>
        </w:rPr>
        <w:t>protection against physical intrusion into an individual's home, body, and personal physical space, the most traditionally recognised dimension of the right.</w:t>
      </w:r>
    </w:p>
    <w:p w14:paraId="3D952F1A"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Informational Privacy: </w:t>
      </w:r>
      <w:r w:rsidRPr="00D11491">
        <w:rPr>
          <w:color w:val="000000" w:themeColor="text1"/>
        </w:rPr>
        <w:t>protection of an individual's personal data and digital identity against unauthorised collection, storage, processing, or disclosure --- the dimension most directly engaged by a biometric identification scheme such as Aadhaar, and the one with the greatest long-term significance for India's digital economy.</w:t>
      </w:r>
    </w:p>
    <w:p w14:paraId="1F3CDFA0"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Decisional Autonomy: </w:t>
      </w:r>
      <w:r w:rsidRPr="00D11491">
        <w:rPr>
          <w:color w:val="000000" w:themeColor="text1"/>
        </w:rPr>
        <w:t>the freedom of the individual to make intimate personal choices --- concerning marriage, family, procreation, sexual orientation, food, and belief --- without unwarranted State interference, a facet that would go on to underpin later decisions such as the decriminalisation of Section 377.</w:t>
      </w:r>
    </w:p>
    <w:p w14:paraId="7D5BB52B" w14:textId="77777777" w:rsidR="00275359" w:rsidRPr="00D11491" w:rsidRDefault="00C82885" w:rsidP="00A23B62">
      <w:pPr>
        <w:spacing w:after="160"/>
        <w:jc w:val="both"/>
        <w:rPr>
          <w:color w:val="000000" w:themeColor="text1"/>
        </w:rPr>
      </w:pPr>
      <w:r w:rsidRPr="00D11491">
        <w:rPr>
          <w:color w:val="000000" w:themeColor="text1"/>
        </w:rPr>
        <w:t xml:space="preserve">Just as Balfour distinguishes a genuine contractual offer from a domestic assurance by asking whether the parties intended legal consequences to follow, </w:t>
      </w:r>
      <w:proofErr w:type="spellStart"/>
      <w:r w:rsidRPr="00D11491">
        <w:rPr>
          <w:color w:val="000000" w:themeColor="text1"/>
        </w:rPr>
        <w:t>Puttaswamy</w:t>
      </w:r>
      <w:proofErr w:type="spellEnd"/>
      <w:r w:rsidRPr="00D11491">
        <w:rPr>
          <w:color w:val="000000" w:themeColor="text1"/>
        </w:rPr>
        <w:t xml:space="preserve"> distinguishes a legitimate exercise of State power from an unconstitutional intrusion by asking which facet of privacy is engaged and whether the safeguards attaching to that facet have been observed.</w:t>
      </w:r>
    </w:p>
    <w:p w14:paraId="42422DBA"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5.2 The Three-Fold Proportionality Test</w:t>
      </w:r>
    </w:p>
    <w:p w14:paraId="7FE12331" w14:textId="77777777" w:rsidR="00275359" w:rsidRPr="00D11491" w:rsidRDefault="00C82885" w:rsidP="00A23B62">
      <w:pPr>
        <w:spacing w:after="160"/>
        <w:jc w:val="both"/>
        <w:rPr>
          <w:color w:val="000000" w:themeColor="text1"/>
        </w:rPr>
      </w:pPr>
      <w:r w:rsidRPr="00D11491">
        <w:rPr>
          <w:color w:val="000000" w:themeColor="text1"/>
        </w:rPr>
        <w:t>Having held that privacy is a fundamental right, the Court still had to explain how far that right extends against a State that must, in the ordinary course of governance, collect and use personal information. It answered this by holding that privacy is not absolute and may be restricted, but only where three conditions are jointly satisfied:</w:t>
      </w:r>
    </w:p>
    <w:p w14:paraId="7B0FFAD8"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Legality: </w:t>
      </w:r>
      <w:r w:rsidRPr="00D11491">
        <w:rPr>
          <w:color w:val="000000" w:themeColor="text1"/>
        </w:rPr>
        <w:t>the restriction must be backed by a specific law enacted by Parliament; executive action or administrative circular alone cannot justify an invasion of privacy.</w:t>
      </w:r>
    </w:p>
    <w:p w14:paraId="2F172DFA"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Legitimate State Aim: </w:t>
      </w:r>
      <w:r w:rsidRPr="00D11491">
        <w:rPr>
          <w:color w:val="000000" w:themeColor="text1"/>
        </w:rPr>
        <w:t>the law must pursue a legitimate governmental purpose, such as national security, prevention or investigation of crime, or the efficient distribution of social welfare benefits, and must not be arbitrary or discriminatory.</w:t>
      </w:r>
    </w:p>
    <w:p w14:paraId="274B8CE4"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Proportionality: </w:t>
      </w:r>
      <w:r w:rsidRPr="00D11491">
        <w:rPr>
          <w:color w:val="000000" w:themeColor="text1"/>
        </w:rPr>
        <w:t>the extent of interference with privacy must be proportionate to the object sought to be achieved, with the law incorporating adequate procedural safeguards against arbitrary State action and against misuse of the power conferred.</w:t>
      </w:r>
    </w:p>
    <w:p w14:paraId="1868BBBB" w14:textId="77777777" w:rsidR="00275359" w:rsidRPr="00D11491" w:rsidRDefault="00C82885" w:rsidP="00A23B62">
      <w:pPr>
        <w:spacing w:after="160"/>
        <w:jc w:val="both"/>
        <w:rPr>
          <w:color w:val="000000" w:themeColor="text1"/>
        </w:rPr>
      </w:pPr>
      <w:r w:rsidRPr="00D11491">
        <w:rPr>
          <w:color w:val="000000" w:themeColor="text1"/>
        </w:rPr>
        <w:t xml:space="preserve">This structured test performs the same analytical function in </w:t>
      </w:r>
      <w:proofErr w:type="spellStart"/>
      <w:r w:rsidRPr="00D11491">
        <w:rPr>
          <w:color w:val="000000" w:themeColor="text1"/>
        </w:rPr>
        <w:t>Puttaswamy</w:t>
      </w:r>
      <w:proofErr w:type="spellEnd"/>
      <w:r w:rsidRPr="00D11491">
        <w:rPr>
          <w:color w:val="000000" w:themeColor="text1"/>
        </w:rPr>
        <w:t xml:space="preserve"> that the domestic-agreement presumption performs in Balfour: it converts a broad, potentially unworkable principle (privacy as a right; intention as a requirement) into a concrete, checkable standard that a court --- or a compliance officer --- can apply to a specific fact pattern.</w:t>
      </w:r>
    </w:p>
    <w:p w14:paraId="04F6B18E"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5.3 Overruling of Precedent as a Structural Pillar of the Decision</w:t>
      </w:r>
    </w:p>
    <w:p w14:paraId="0706460B" w14:textId="77777777" w:rsidR="00275359" w:rsidRPr="00D11491" w:rsidRDefault="00C82885" w:rsidP="00A23B62">
      <w:pPr>
        <w:spacing w:after="160"/>
        <w:jc w:val="both"/>
        <w:rPr>
          <w:color w:val="000000" w:themeColor="text1"/>
        </w:rPr>
      </w:pPr>
      <w:r w:rsidRPr="00D11491">
        <w:rPr>
          <w:color w:val="000000" w:themeColor="text1"/>
        </w:rPr>
        <w:t>Beyond the substantive test, the Bench's treatment of its own prior decisions is central to understanding the judgment's reach.</w:t>
      </w:r>
    </w:p>
    <w:p w14:paraId="16B9C2FB"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M.P. Sharma v. Satish Chandra (1954): </w:t>
      </w:r>
      <w:r w:rsidRPr="00D11491">
        <w:rPr>
          <w:color w:val="000000" w:themeColor="text1"/>
        </w:rPr>
        <w:t xml:space="preserve">an eight-judge Bench decision holding that the Constitution contains no provision analogous to the Fourth Amendment of the United States Constitution, and therefore affords no express privacy protection; this reasoning was held to be premised on </w:t>
      </w:r>
      <w:proofErr w:type="gramStart"/>
      <w:r w:rsidRPr="00D11491">
        <w:rPr>
          <w:color w:val="000000" w:themeColor="text1"/>
        </w:rPr>
        <w:t>too</w:t>
      </w:r>
      <w:proofErr w:type="gramEnd"/>
      <w:r w:rsidRPr="00D11491">
        <w:rPr>
          <w:color w:val="000000" w:themeColor="text1"/>
        </w:rPr>
        <w:t xml:space="preserve"> narrow a reading of Article 21.</w:t>
      </w:r>
    </w:p>
    <w:p w14:paraId="6F79C663" w14:textId="77777777" w:rsidR="00275359" w:rsidRPr="00D11491" w:rsidRDefault="00C82885" w:rsidP="00A23B62">
      <w:pPr>
        <w:pStyle w:val="ListParagraph"/>
        <w:numPr>
          <w:ilvl w:val="0"/>
          <w:numId w:val="2"/>
        </w:numPr>
        <w:spacing w:after="120"/>
        <w:jc w:val="both"/>
        <w:rPr>
          <w:color w:val="000000" w:themeColor="text1"/>
        </w:rPr>
      </w:pPr>
      <w:proofErr w:type="spellStart"/>
      <w:r w:rsidRPr="00D11491">
        <w:rPr>
          <w:b/>
          <w:bCs/>
          <w:color w:val="000000" w:themeColor="text1"/>
        </w:rPr>
        <w:t>Kharak</w:t>
      </w:r>
      <w:proofErr w:type="spellEnd"/>
      <w:r w:rsidRPr="00D11491">
        <w:rPr>
          <w:b/>
          <w:bCs/>
          <w:color w:val="000000" w:themeColor="text1"/>
        </w:rPr>
        <w:t xml:space="preserve"> Singh v. State of U.P. (1962): </w:t>
      </w:r>
      <w:r w:rsidRPr="00D11491">
        <w:rPr>
          <w:color w:val="000000" w:themeColor="text1"/>
        </w:rPr>
        <w:t xml:space="preserve">a six-judge Bench decision that, while striking down a police surveillance regulation on other grounds, held that no fundamental right to privacy could be spelt out from the </w:t>
      </w:r>
      <w:r w:rsidRPr="00D11491">
        <w:rPr>
          <w:color w:val="000000" w:themeColor="text1"/>
        </w:rPr>
        <w:lastRenderedPageBreak/>
        <w:t>Constitution; this holding, too, was found inconsistent with the later, expansive interpretation of personal liberty.</w:t>
      </w:r>
    </w:p>
    <w:p w14:paraId="2DBCAE70" w14:textId="77777777" w:rsidR="00275359" w:rsidRPr="00D11491" w:rsidRDefault="00C82885" w:rsidP="00A23B62">
      <w:pPr>
        <w:spacing w:after="160"/>
        <w:jc w:val="both"/>
        <w:rPr>
          <w:color w:val="000000" w:themeColor="text1"/>
        </w:rPr>
      </w:pPr>
      <w:r w:rsidRPr="00D11491">
        <w:rPr>
          <w:color w:val="000000" w:themeColor="text1"/>
        </w:rPr>
        <w:t>Because both precedents had been decided by Benches of eight and six judges respectively, only a Bench of at least equal strength could overrule them --- which is precisely why the constitutional question had to travel to a nine-judge Bench before the underlying Aadhaar dispute could even be addressed on its merits.</w:t>
      </w:r>
    </w:p>
    <w:p w14:paraId="3A7CDCDF"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t>6. Business Relevance</w:t>
      </w:r>
    </w:p>
    <w:p w14:paraId="63323D36"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6.1 Application in Modern Business and Governance</w:t>
      </w:r>
    </w:p>
    <w:p w14:paraId="19633788" w14:textId="77777777" w:rsidR="00275359" w:rsidRPr="00D11491" w:rsidRDefault="00C82885" w:rsidP="00A23B62">
      <w:pPr>
        <w:spacing w:after="160"/>
        <w:jc w:val="both"/>
        <w:rPr>
          <w:color w:val="000000" w:themeColor="text1"/>
        </w:rPr>
      </w:pPr>
      <w:r w:rsidRPr="00D11491">
        <w:rPr>
          <w:color w:val="000000" w:themeColor="text1"/>
        </w:rPr>
        <w:t xml:space="preserve">Although decided in the context of a </w:t>
      </w:r>
      <w:proofErr w:type="gramStart"/>
      <w:r w:rsidRPr="00D11491">
        <w:rPr>
          <w:color w:val="000000" w:themeColor="text1"/>
        </w:rPr>
        <w:t>State</w:t>
      </w:r>
      <w:proofErr w:type="gramEnd"/>
      <w:r w:rsidRPr="00D11491">
        <w:rPr>
          <w:color w:val="000000" w:themeColor="text1"/>
        </w:rPr>
        <w:t xml:space="preserve"> identification scheme, </w:t>
      </w:r>
      <w:proofErr w:type="spellStart"/>
      <w:r w:rsidRPr="00D11491">
        <w:rPr>
          <w:color w:val="000000" w:themeColor="text1"/>
        </w:rPr>
        <w:t>Puttaswamy</w:t>
      </w:r>
      <w:proofErr w:type="spellEnd"/>
      <w:r w:rsidRPr="00D11491">
        <w:rPr>
          <w:color w:val="000000" w:themeColor="text1"/>
        </w:rPr>
        <w:t xml:space="preserve"> continues to shape how modern businesses, regulators, and technology platforms in India assess the lawfulness of collecting, storing, and using personal data. Its core insight --- that informational privacy is a constitutionally protected interest that can only be curtailed through a valid law, a legitimate aim, and proportionate means --- has direct application across several areas of contemporary commerce:</w:t>
      </w:r>
    </w:p>
    <w:p w14:paraId="0E561A00"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Mandatory Aadhaar authentication by private entities: </w:t>
      </w:r>
      <w:r w:rsidRPr="00D11491">
        <w:rPr>
          <w:color w:val="000000" w:themeColor="text1"/>
        </w:rPr>
        <w:t xml:space="preserve">the reasoning in </w:t>
      </w:r>
      <w:proofErr w:type="spellStart"/>
      <w:r w:rsidRPr="00D11491">
        <w:rPr>
          <w:color w:val="000000" w:themeColor="text1"/>
        </w:rPr>
        <w:t>Puttaswamy</w:t>
      </w:r>
      <w:proofErr w:type="spellEnd"/>
      <w:r w:rsidRPr="00D11491">
        <w:rPr>
          <w:color w:val="000000" w:themeColor="text1"/>
        </w:rPr>
        <w:t xml:space="preserve"> directly informed the 2018 Aadhaar judgment, which struck down provisions permitting telecom companies, banks, and other private entities from mandating Aadhaar authentication for their own services, since such requirements lacked the legislative backing and proportionality the Court demanded.</w:t>
      </w:r>
    </w:p>
    <w:p w14:paraId="18303151"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Data protection and privacy compliance programmes: </w:t>
      </w:r>
      <w:r w:rsidRPr="00D11491">
        <w:rPr>
          <w:color w:val="000000" w:themeColor="text1"/>
        </w:rPr>
        <w:t>companies handling customer data --- financial institutions, e-commerce platforms, health-tech and fintech companies --- now structure consent, data minimisation, and retention policies with reference to the legality-legitimacy-proportionality framework the judgment established, ahead of India's Digital Personal Data Protection Act.</w:t>
      </w:r>
    </w:p>
    <w:p w14:paraId="0BE0B690"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Employee monitoring and workplace surveillance: </w:t>
      </w:r>
      <w:r w:rsidRPr="00D11491">
        <w:rPr>
          <w:color w:val="000000" w:themeColor="text1"/>
        </w:rPr>
        <w:t xml:space="preserve">employer practices such as tracking devices, email monitoring, and biometric attendance systems are increasingly tested against the decisional and informational privacy facets identified in </w:t>
      </w:r>
      <w:proofErr w:type="spellStart"/>
      <w:r w:rsidRPr="00D11491">
        <w:rPr>
          <w:color w:val="000000" w:themeColor="text1"/>
        </w:rPr>
        <w:t>Puttaswamy</w:t>
      </w:r>
      <w:proofErr w:type="spellEnd"/>
      <w:r w:rsidRPr="00D11491">
        <w:rPr>
          <w:color w:val="000000" w:themeColor="text1"/>
        </w:rPr>
        <w:t>, requiring employers to show a legitimate business purpose and proportionate implementation.</w:t>
      </w:r>
    </w:p>
    <w:p w14:paraId="46C86663"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Digital identity and KYC platforms: </w:t>
      </w:r>
      <w:r w:rsidRPr="00D11491">
        <w:rPr>
          <w:color w:val="000000" w:themeColor="text1"/>
        </w:rPr>
        <w:t>fintech and lending platforms relying on biometric or Aadhaar-linked identity verification must build safeguards --- purpose limitation, data security, audit trails --- that mirror the proportionality safeguards the Court required of the State itself.</w:t>
      </w:r>
    </w:p>
    <w:p w14:paraId="110CC706"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6.2 Risk Management &amp; Operational Compliance</w:t>
      </w:r>
    </w:p>
    <w:p w14:paraId="323BE99A" w14:textId="77777777" w:rsidR="00275359" w:rsidRPr="00D11491" w:rsidRDefault="00C82885" w:rsidP="00A23B62">
      <w:pPr>
        <w:spacing w:after="160"/>
        <w:jc w:val="both"/>
        <w:rPr>
          <w:color w:val="000000" w:themeColor="text1"/>
        </w:rPr>
      </w:pPr>
      <w:r w:rsidRPr="00D11491">
        <w:rPr>
          <w:color w:val="000000" w:themeColor="text1"/>
        </w:rPr>
        <w:t>The judgment offers several enduring, practical lessons for organisations that collect or process personal data:</w:t>
      </w:r>
    </w:p>
    <w:p w14:paraId="3F7D8A2B"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Anchor data collection in a clear legal basis. </w:t>
      </w:r>
      <w:r w:rsidRPr="00D11491">
        <w:rPr>
          <w:color w:val="000000" w:themeColor="text1"/>
        </w:rPr>
        <w:t>Just as the Court required State action to rest on a specific parliamentary law, organisations should ensure that any collection of sensitive personal data rests on an identifiable legal basis --- statute, regulation, or valid consent --- rather than administrative convenience alone.</w:t>
      </w:r>
    </w:p>
    <w:p w14:paraId="4E2A6990"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Articulate a legitimate, specific purpose for each category of data collected. </w:t>
      </w:r>
      <w:r w:rsidRPr="00D11491">
        <w:rPr>
          <w:color w:val="000000" w:themeColor="text1"/>
        </w:rPr>
        <w:t>Collecting data 'in case it proves useful' does not withstand scrutiny under a proportionality-based framework; each data point collected should map to a defined, legitimate business or regulatory purpose.</w:t>
      </w:r>
    </w:p>
    <w:p w14:paraId="4C20A043"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Match the scope of collection and retention to the stated purpose. </w:t>
      </w:r>
      <w:r w:rsidRPr="00D11491">
        <w:rPr>
          <w:color w:val="000000" w:themeColor="text1"/>
        </w:rPr>
        <w:t>Proportionality requires that the extent of data collected, and the period for which it is retained, correspond to what is genuinely necessary to achieve the stated aim, with excess collection or indefinite retention being the most common point of failure.</w:t>
      </w:r>
    </w:p>
    <w:p w14:paraId="1AB11A36"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Build in procedural safeguards against misuse. </w:t>
      </w:r>
      <w:r w:rsidRPr="00D11491">
        <w:rPr>
          <w:color w:val="000000" w:themeColor="text1"/>
        </w:rPr>
        <w:t>Access controls, audit trails, breach-notification protocols, and independent oversight are the practical, operational analogue of the 'safeguards against abuse' the Court required of State surveillance and data-collection programmes.</w:t>
      </w:r>
    </w:p>
    <w:p w14:paraId="1747445D" w14:textId="77777777" w:rsidR="00275359" w:rsidRPr="00D11491" w:rsidRDefault="00C82885" w:rsidP="00A23B62">
      <w:pPr>
        <w:pStyle w:val="ListParagraph"/>
        <w:numPr>
          <w:ilvl w:val="0"/>
          <w:numId w:val="2"/>
        </w:numPr>
        <w:spacing w:after="120"/>
        <w:jc w:val="both"/>
        <w:rPr>
          <w:color w:val="000000" w:themeColor="text1"/>
        </w:rPr>
      </w:pPr>
      <w:r w:rsidRPr="00D11491">
        <w:rPr>
          <w:b/>
          <w:bCs/>
          <w:color w:val="000000" w:themeColor="text1"/>
        </w:rPr>
        <w:t xml:space="preserve">Recognise informational privacy as a distinct compliance check, separate from data security. </w:t>
      </w:r>
      <w:r w:rsidRPr="00D11491">
        <w:rPr>
          <w:color w:val="000000" w:themeColor="text1"/>
        </w:rPr>
        <w:t xml:space="preserve">Security asks whether data is protected from unauthorised access; privacy, as understood in </w:t>
      </w:r>
      <w:proofErr w:type="spellStart"/>
      <w:r w:rsidRPr="00D11491">
        <w:rPr>
          <w:color w:val="000000" w:themeColor="text1"/>
        </w:rPr>
        <w:t>Puttaswamy</w:t>
      </w:r>
      <w:proofErr w:type="spellEnd"/>
      <w:r w:rsidRPr="00D11491">
        <w:rPr>
          <w:color w:val="000000" w:themeColor="text1"/>
        </w:rPr>
        <w:t>, asks the prior question of whether the data should have been collected, and for what purpose, at all --- a discipline compliance teams must treat as a separate and equally necessary step.</w:t>
      </w:r>
    </w:p>
    <w:p w14:paraId="241666D9" w14:textId="77777777" w:rsidR="00275359" w:rsidRPr="00D11491" w:rsidRDefault="00C82885" w:rsidP="00A23B62">
      <w:pPr>
        <w:pStyle w:val="Heading1"/>
        <w:spacing w:before="320" w:after="160"/>
        <w:jc w:val="both"/>
        <w:rPr>
          <w:color w:val="000000" w:themeColor="text1"/>
        </w:rPr>
      </w:pPr>
      <w:r w:rsidRPr="00D11491">
        <w:rPr>
          <w:b/>
          <w:bCs/>
          <w:color w:val="000000" w:themeColor="text1"/>
        </w:rPr>
        <w:lastRenderedPageBreak/>
        <w:t>7. Conclusion</w:t>
      </w:r>
    </w:p>
    <w:p w14:paraId="0A745C1E"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7.1 Personal Learning and Observations</w:t>
      </w:r>
    </w:p>
    <w:p w14:paraId="2CFE90BD" w14:textId="77777777" w:rsidR="00275359" w:rsidRPr="00D11491" w:rsidRDefault="00C82885" w:rsidP="00A23B62">
      <w:pPr>
        <w:spacing w:after="160"/>
        <w:jc w:val="both"/>
        <w:rPr>
          <w:color w:val="000000" w:themeColor="text1"/>
        </w:rPr>
      </w:pPr>
      <w:proofErr w:type="spellStart"/>
      <w:r w:rsidRPr="00D11491">
        <w:rPr>
          <w:color w:val="000000" w:themeColor="text1"/>
        </w:rPr>
        <w:t>Puttaswamy</w:t>
      </w:r>
      <w:proofErr w:type="spellEnd"/>
      <w:r w:rsidRPr="00D11491">
        <w:rPr>
          <w:color w:val="000000" w:themeColor="text1"/>
        </w:rPr>
        <w:t xml:space="preserve"> v. Union of India endures as a foundational case not because it resolved the fate of the Aadhaar scheme itself --- that question was left to a later Bench --- but because the nine-judge Bench used the occasion to correct nearly six decades of constitutional doctrine and to articulate, with unusual structural clarity, both the existence and the limits of the right to privacy.</w:t>
      </w:r>
    </w:p>
    <w:p w14:paraId="3D037216"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The judgment demonstrates that a right can be 'read into' the Constitution through purposive interpretation of existing guarantees (Article 21 and Part III) without requiring an express textual mention, provided the interpretation is grounded in the connected concepts of dignity, liberty, and autonomy that the text already protects.</w:t>
      </w:r>
    </w:p>
    <w:p w14:paraId="483C7E26"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A key observation is how the Court built a workable proportionality test --- legality, legitimate aim, proportionality --- immediately upon recognising the right, rather than leaving privacy as an unqualified, absolute guarantee; this mirrors how Balfour immediately supplies a rebuttable presumption rather than an inflexible bar, ensuring the newly recognised principle remains administrable in future cases.</w:t>
      </w:r>
    </w:p>
    <w:p w14:paraId="53C04E92"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 xml:space="preserve">As the subsequent 2018 Aadhaar judgment and the decriminalisation of Section 377 demonstrate, </w:t>
      </w:r>
      <w:proofErr w:type="spellStart"/>
      <w:r w:rsidRPr="00D11491">
        <w:rPr>
          <w:color w:val="000000" w:themeColor="text1"/>
        </w:rPr>
        <w:t>Puttaswamy</w:t>
      </w:r>
      <w:proofErr w:type="spellEnd"/>
      <w:r w:rsidRPr="00D11491">
        <w:rPr>
          <w:color w:val="000000" w:themeColor="text1"/>
        </w:rPr>
        <w:t xml:space="preserve"> operates as a foundational precedent whose facets --- spatial, informational, and decisional --- continue to be applied and refined by later Benches confronting new fact patterns, from digital surveillance to personal autonomy in intimate relationships.</w:t>
      </w:r>
    </w:p>
    <w:p w14:paraId="13931DEB" w14:textId="77777777" w:rsidR="00275359" w:rsidRPr="00D11491" w:rsidRDefault="00C82885" w:rsidP="00A23B62">
      <w:pPr>
        <w:pStyle w:val="ListParagraph"/>
        <w:numPr>
          <w:ilvl w:val="0"/>
          <w:numId w:val="2"/>
        </w:numPr>
        <w:spacing w:after="120"/>
        <w:jc w:val="both"/>
        <w:rPr>
          <w:color w:val="000000" w:themeColor="text1"/>
        </w:rPr>
      </w:pPr>
      <w:r w:rsidRPr="00D11491">
        <w:rPr>
          <w:color w:val="000000" w:themeColor="text1"/>
        </w:rPr>
        <w:t xml:space="preserve">The case remains instructive precisely because it sits at the intersection of constitutional law and everyday digital life, showing how courts translate an abstract </w:t>
      </w:r>
      <w:proofErr w:type="spellStart"/>
      <w:r w:rsidRPr="00D11491">
        <w:rPr>
          <w:color w:val="000000" w:themeColor="text1"/>
        </w:rPr>
        <w:t>dignitarian</w:t>
      </w:r>
      <w:proofErr w:type="spellEnd"/>
      <w:r w:rsidRPr="00D11491">
        <w:rPr>
          <w:color w:val="000000" w:themeColor="text1"/>
        </w:rPr>
        <w:t xml:space="preserve"> value into a concrete legal test that both citizens and the State can apply.</w:t>
      </w:r>
    </w:p>
    <w:p w14:paraId="0DEF82E9" w14:textId="77777777" w:rsidR="00275359" w:rsidRPr="00D11491" w:rsidRDefault="00C82885" w:rsidP="00A23B62">
      <w:pPr>
        <w:spacing w:after="160"/>
        <w:jc w:val="both"/>
        <w:rPr>
          <w:color w:val="000000" w:themeColor="text1"/>
        </w:rPr>
      </w:pPr>
      <w:r w:rsidRPr="00D11491">
        <w:rPr>
          <w:color w:val="000000" w:themeColor="text1"/>
        </w:rPr>
        <w:t xml:space="preserve">For any student or practitioner of constitutional law, </w:t>
      </w:r>
      <w:proofErr w:type="spellStart"/>
      <w:r w:rsidRPr="00D11491">
        <w:rPr>
          <w:color w:val="000000" w:themeColor="text1"/>
        </w:rPr>
        <w:t>Puttaswamy</w:t>
      </w:r>
      <w:proofErr w:type="spellEnd"/>
      <w:r w:rsidRPr="00D11491">
        <w:rPr>
          <w:color w:val="000000" w:themeColor="text1"/>
        </w:rPr>
        <w:t xml:space="preserve"> offers a compact but complete illustration of how a court overrules its own settled precedent, reconstructs a fundamental right through purposive interpretation, and immediately equips that right with a workable test --- providing a template not only for privacy jurisprudence but for constitutional reasoning more broadly.</w:t>
      </w:r>
    </w:p>
    <w:p w14:paraId="387DE383" w14:textId="77777777" w:rsidR="00275359" w:rsidRPr="00D11491" w:rsidRDefault="00C82885" w:rsidP="00A23B62">
      <w:pPr>
        <w:pStyle w:val="Heading2"/>
        <w:spacing w:before="240" w:after="120"/>
        <w:jc w:val="both"/>
        <w:rPr>
          <w:color w:val="000000" w:themeColor="text1"/>
        </w:rPr>
      </w:pPr>
      <w:r w:rsidRPr="00D11491">
        <w:rPr>
          <w:b/>
          <w:bCs/>
          <w:color w:val="000000" w:themeColor="text1"/>
        </w:rPr>
        <w:t>IRAC Summary</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20"/>
      </w:tblGrid>
      <w:tr w:rsidR="00275359" w:rsidRPr="00D11491" w14:paraId="4C574B07" w14:textId="77777777">
        <w:tc>
          <w:tcPr>
            <w:tcW w:w="2600" w:type="dxa"/>
            <w:shd w:val="clear" w:color="auto" w:fill="D9D9D9"/>
            <w:tcMar>
              <w:top w:w="100" w:type="dxa"/>
              <w:left w:w="120" w:type="dxa"/>
              <w:bottom w:w="100" w:type="dxa"/>
              <w:right w:w="120" w:type="dxa"/>
            </w:tcMar>
          </w:tcPr>
          <w:p w14:paraId="508DDB46" w14:textId="77777777" w:rsidR="00275359" w:rsidRPr="00D11491" w:rsidRDefault="00C82885" w:rsidP="00A23B62">
            <w:pPr>
              <w:jc w:val="both"/>
              <w:rPr>
                <w:color w:val="000000" w:themeColor="text1"/>
              </w:rPr>
            </w:pPr>
            <w:r w:rsidRPr="00D11491">
              <w:rPr>
                <w:b/>
                <w:bCs/>
                <w:color w:val="000000" w:themeColor="text1"/>
              </w:rPr>
              <w:t>Element</w:t>
            </w:r>
          </w:p>
        </w:tc>
        <w:tc>
          <w:tcPr>
            <w:tcW w:w="7420" w:type="dxa"/>
            <w:shd w:val="clear" w:color="auto" w:fill="D9D9D9"/>
            <w:tcMar>
              <w:top w:w="100" w:type="dxa"/>
              <w:left w:w="120" w:type="dxa"/>
              <w:bottom w:w="100" w:type="dxa"/>
              <w:right w:w="120" w:type="dxa"/>
            </w:tcMar>
          </w:tcPr>
          <w:p w14:paraId="6D21FF98" w14:textId="77777777" w:rsidR="00275359" w:rsidRPr="00D11491" w:rsidRDefault="00C82885" w:rsidP="00A23B62">
            <w:pPr>
              <w:jc w:val="both"/>
              <w:rPr>
                <w:color w:val="000000" w:themeColor="text1"/>
              </w:rPr>
            </w:pPr>
            <w:r w:rsidRPr="00D11491">
              <w:rPr>
                <w:b/>
                <w:bCs/>
                <w:color w:val="000000" w:themeColor="text1"/>
              </w:rPr>
              <w:t xml:space="preserve">Application to </w:t>
            </w:r>
            <w:proofErr w:type="spellStart"/>
            <w:r w:rsidRPr="00D11491">
              <w:rPr>
                <w:b/>
                <w:bCs/>
                <w:color w:val="000000" w:themeColor="text1"/>
              </w:rPr>
              <w:t>Puttaswamy</w:t>
            </w:r>
            <w:proofErr w:type="spellEnd"/>
          </w:p>
        </w:tc>
      </w:tr>
      <w:tr w:rsidR="00275359" w:rsidRPr="00D11491" w14:paraId="00236AC1" w14:textId="77777777">
        <w:tc>
          <w:tcPr>
            <w:tcW w:w="2600" w:type="dxa"/>
            <w:tcMar>
              <w:top w:w="100" w:type="dxa"/>
              <w:left w:w="120" w:type="dxa"/>
              <w:bottom w:w="100" w:type="dxa"/>
              <w:right w:w="120" w:type="dxa"/>
            </w:tcMar>
          </w:tcPr>
          <w:p w14:paraId="4BE61918" w14:textId="77777777" w:rsidR="00275359" w:rsidRPr="00D11491" w:rsidRDefault="00C82885" w:rsidP="00A23B62">
            <w:pPr>
              <w:jc w:val="both"/>
              <w:rPr>
                <w:color w:val="000000" w:themeColor="text1"/>
              </w:rPr>
            </w:pPr>
            <w:r w:rsidRPr="00D11491">
              <w:rPr>
                <w:color w:val="000000" w:themeColor="text1"/>
              </w:rPr>
              <w:t>Issue</w:t>
            </w:r>
          </w:p>
        </w:tc>
        <w:tc>
          <w:tcPr>
            <w:tcW w:w="7420" w:type="dxa"/>
            <w:tcMar>
              <w:top w:w="100" w:type="dxa"/>
              <w:left w:w="120" w:type="dxa"/>
              <w:bottom w:w="100" w:type="dxa"/>
              <w:right w:w="120" w:type="dxa"/>
            </w:tcMar>
          </w:tcPr>
          <w:p w14:paraId="555D877B" w14:textId="77777777" w:rsidR="00275359" w:rsidRPr="00D11491" w:rsidRDefault="00C82885" w:rsidP="00A23B62">
            <w:pPr>
              <w:jc w:val="both"/>
              <w:rPr>
                <w:color w:val="000000" w:themeColor="text1"/>
              </w:rPr>
            </w:pPr>
            <w:r w:rsidRPr="00D11491">
              <w:rPr>
                <w:color w:val="000000" w:themeColor="text1"/>
              </w:rPr>
              <w:t>Is the right to privacy a fundamental right guaranteed under the Constitution of India, and, if so, was the Aadhaar scheme's collection of biometric data a permissible restriction on that right?</w:t>
            </w:r>
          </w:p>
        </w:tc>
      </w:tr>
      <w:tr w:rsidR="00275359" w:rsidRPr="00D11491" w14:paraId="0DF9BA77" w14:textId="77777777">
        <w:tc>
          <w:tcPr>
            <w:tcW w:w="2600" w:type="dxa"/>
            <w:tcMar>
              <w:top w:w="100" w:type="dxa"/>
              <w:left w:w="120" w:type="dxa"/>
              <w:bottom w:w="100" w:type="dxa"/>
              <w:right w:w="120" w:type="dxa"/>
            </w:tcMar>
          </w:tcPr>
          <w:p w14:paraId="69C32542" w14:textId="77777777" w:rsidR="00275359" w:rsidRPr="00D11491" w:rsidRDefault="00C82885" w:rsidP="00A23B62">
            <w:pPr>
              <w:jc w:val="both"/>
              <w:rPr>
                <w:color w:val="000000" w:themeColor="text1"/>
              </w:rPr>
            </w:pPr>
            <w:r w:rsidRPr="00D11491">
              <w:rPr>
                <w:color w:val="000000" w:themeColor="text1"/>
              </w:rPr>
              <w:t>Rule</w:t>
            </w:r>
          </w:p>
        </w:tc>
        <w:tc>
          <w:tcPr>
            <w:tcW w:w="7420" w:type="dxa"/>
            <w:tcMar>
              <w:top w:w="100" w:type="dxa"/>
              <w:left w:w="120" w:type="dxa"/>
              <w:bottom w:w="100" w:type="dxa"/>
              <w:right w:w="120" w:type="dxa"/>
            </w:tcMar>
          </w:tcPr>
          <w:p w14:paraId="7E794930" w14:textId="77777777" w:rsidR="00275359" w:rsidRPr="00D11491" w:rsidRDefault="00C82885" w:rsidP="00A23B62">
            <w:pPr>
              <w:jc w:val="both"/>
              <w:rPr>
                <w:color w:val="000000" w:themeColor="text1"/>
              </w:rPr>
            </w:pPr>
            <w:r w:rsidRPr="00D11491">
              <w:rPr>
                <w:color w:val="000000" w:themeColor="text1"/>
              </w:rPr>
              <w:t>Fundamental rights under Part III, read purposively, protect an intrinsic right to privacy as part of life, liberty, and personal autonomy under Article 21; any State restriction of that right must satisfy a three-fold test of legality, legitimate aim, and proportionality.</w:t>
            </w:r>
          </w:p>
        </w:tc>
      </w:tr>
      <w:tr w:rsidR="00275359" w:rsidRPr="00D11491" w14:paraId="70AABAEC" w14:textId="77777777">
        <w:tc>
          <w:tcPr>
            <w:tcW w:w="2600" w:type="dxa"/>
            <w:tcMar>
              <w:top w:w="100" w:type="dxa"/>
              <w:left w:w="120" w:type="dxa"/>
              <w:bottom w:w="100" w:type="dxa"/>
              <w:right w:w="120" w:type="dxa"/>
            </w:tcMar>
          </w:tcPr>
          <w:p w14:paraId="40731CCE" w14:textId="77777777" w:rsidR="00275359" w:rsidRPr="00D11491" w:rsidRDefault="00C82885" w:rsidP="00A23B62">
            <w:pPr>
              <w:jc w:val="both"/>
              <w:rPr>
                <w:color w:val="000000" w:themeColor="text1"/>
              </w:rPr>
            </w:pPr>
            <w:r w:rsidRPr="00D11491">
              <w:rPr>
                <w:color w:val="000000" w:themeColor="text1"/>
              </w:rPr>
              <w:t>Application</w:t>
            </w:r>
          </w:p>
        </w:tc>
        <w:tc>
          <w:tcPr>
            <w:tcW w:w="7420" w:type="dxa"/>
            <w:tcMar>
              <w:top w:w="100" w:type="dxa"/>
              <w:left w:w="120" w:type="dxa"/>
              <w:bottom w:w="100" w:type="dxa"/>
              <w:right w:w="120" w:type="dxa"/>
            </w:tcMar>
          </w:tcPr>
          <w:p w14:paraId="1B24DFCF" w14:textId="77777777" w:rsidR="00275359" w:rsidRPr="00D11491" w:rsidRDefault="00C82885" w:rsidP="00A23B62">
            <w:pPr>
              <w:jc w:val="both"/>
              <w:rPr>
                <w:color w:val="000000" w:themeColor="text1"/>
              </w:rPr>
            </w:pPr>
            <w:r w:rsidRPr="00D11491">
              <w:rPr>
                <w:color w:val="000000" w:themeColor="text1"/>
              </w:rPr>
              <w:t xml:space="preserve">M.P. Sharma and </w:t>
            </w:r>
            <w:proofErr w:type="spellStart"/>
            <w:r w:rsidRPr="00D11491">
              <w:rPr>
                <w:color w:val="000000" w:themeColor="text1"/>
              </w:rPr>
              <w:t>Kharak</w:t>
            </w:r>
            <w:proofErr w:type="spellEnd"/>
            <w:r w:rsidRPr="00D11491">
              <w:rPr>
                <w:color w:val="000000" w:themeColor="text1"/>
              </w:rPr>
              <w:t xml:space="preserve"> Singh had denied any constitutional privacy protection based on a narrow, compartmentalised reading of Part III; the nine-judge Bench found that reasoning inconsistent with the later, expansive understanding of Article 21 and with the lived reality of a digital identification scheme touching spatial, informational, and decisional interests alike.</w:t>
            </w:r>
          </w:p>
        </w:tc>
      </w:tr>
      <w:tr w:rsidR="00275359" w:rsidRPr="00D11491" w14:paraId="16BDEBF4" w14:textId="77777777">
        <w:tc>
          <w:tcPr>
            <w:tcW w:w="2600" w:type="dxa"/>
            <w:tcMar>
              <w:top w:w="100" w:type="dxa"/>
              <w:left w:w="120" w:type="dxa"/>
              <w:bottom w:w="100" w:type="dxa"/>
              <w:right w:w="120" w:type="dxa"/>
            </w:tcMar>
          </w:tcPr>
          <w:p w14:paraId="60D1EED0" w14:textId="77777777" w:rsidR="00275359" w:rsidRPr="00D11491" w:rsidRDefault="00C82885" w:rsidP="00A23B62">
            <w:pPr>
              <w:jc w:val="both"/>
              <w:rPr>
                <w:color w:val="000000" w:themeColor="text1"/>
              </w:rPr>
            </w:pPr>
            <w:r w:rsidRPr="00D11491">
              <w:rPr>
                <w:color w:val="000000" w:themeColor="text1"/>
              </w:rPr>
              <w:t>Conclusion</w:t>
            </w:r>
          </w:p>
        </w:tc>
        <w:tc>
          <w:tcPr>
            <w:tcW w:w="7420" w:type="dxa"/>
            <w:tcMar>
              <w:top w:w="100" w:type="dxa"/>
              <w:left w:w="120" w:type="dxa"/>
              <w:bottom w:w="100" w:type="dxa"/>
              <w:right w:w="120" w:type="dxa"/>
            </w:tcMar>
          </w:tcPr>
          <w:p w14:paraId="70C37DCC" w14:textId="77777777" w:rsidR="00275359" w:rsidRPr="00D11491" w:rsidRDefault="00C82885" w:rsidP="00A23B62">
            <w:pPr>
              <w:jc w:val="both"/>
              <w:rPr>
                <w:color w:val="000000" w:themeColor="text1"/>
              </w:rPr>
            </w:pPr>
            <w:r w:rsidRPr="00D11491">
              <w:rPr>
                <w:color w:val="000000" w:themeColor="text1"/>
              </w:rPr>
              <w:t xml:space="preserve">The right to privacy is a fundamental right under Article 21 and Part III of the Constitution. M.P. Sharma and </w:t>
            </w:r>
            <w:proofErr w:type="spellStart"/>
            <w:r w:rsidRPr="00D11491">
              <w:rPr>
                <w:color w:val="000000" w:themeColor="text1"/>
              </w:rPr>
              <w:t>Kharak</w:t>
            </w:r>
            <w:proofErr w:type="spellEnd"/>
            <w:r w:rsidRPr="00D11491">
              <w:rPr>
                <w:color w:val="000000" w:themeColor="text1"/>
              </w:rPr>
              <w:t xml:space="preserve"> Singh were overruled to that extent, and the question of the Aadhaar scheme's specific validity was remitted for determination against the newly laid down proportionality standard.</w:t>
            </w:r>
          </w:p>
        </w:tc>
      </w:tr>
    </w:tbl>
    <w:p w14:paraId="0F11B866" w14:textId="77777777" w:rsidR="00C82885" w:rsidRPr="00D11491" w:rsidRDefault="00C82885" w:rsidP="00A23B62">
      <w:pPr>
        <w:jc w:val="both"/>
        <w:rPr>
          <w:color w:val="000000" w:themeColor="text1"/>
        </w:rPr>
      </w:pPr>
    </w:p>
    <w:sectPr w:rsidR="00C82885" w:rsidRPr="00D114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87E"/>
    <w:multiLevelType w:val="hybridMultilevel"/>
    <w:tmpl w:val="5CA48986"/>
    <w:lvl w:ilvl="0" w:tplc="7E6A2126">
      <w:start w:val="1"/>
      <w:numFmt w:val="bullet"/>
      <w:lvlText w:val="•"/>
      <w:lvlJc w:val="left"/>
      <w:pPr>
        <w:ind w:left="540" w:hanging="270"/>
      </w:pPr>
    </w:lvl>
    <w:lvl w:ilvl="1" w:tplc="0ED2D704">
      <w:numFmt w:val="decimal"/>
      <w:lvlText w:val=""/>
      <w:lvlJc w:val="left"/>
    </w:lvl>
    <w:lvl w:ilvl="2" w:tplc="48D68A3C">
      <w:numFmt w:val="decimal"/>
      <w:lvlText w:val=""/>
      <w:lvlJc w:val="left"/>
    </w:lvl>
    <w:lvl w:ilvl="3" w:tplc="C5BE87D2">
      <w:numFmt w:val="decimal"/>
      <w:lvlText w:val=""/>
      <w:lvlJc w:val="left"/>
    </w:lvl>
    <w:lvl w:ilvl="4" w:tplc="2E76C2E0">
      <w:numFmt w:val="decimal"/>
      <w:lvlText w:val=""/>
      <w:lvlJc w:val="left"/>
    </w:lvl>
    <w:lvl w:ilvl="5" w:tplc="A53A108C">
      <w:numFmt w:val="decimal"/>
      <w:lvlText w:val=""/>
      <w:lvlJc w:val="left"/>
    </w:lvl>
    <w:lvl w:ilvl="6" w:tplc="112E91E6">
      <w:numFmt w:val="decimal"/>
      <w:lvlText w:val=""/>
      <w:lvlJc w:val="left"/>
    </w:lvl>
    <w:lvl w:ilvl="7" w:tplc="A0148A1C">
      <w:numFmt w:val="decimal"/>
      <w:lvlText w:val=""/>
      <w:lvlJc w:val="left"/>
    </w:lvl>
    <w:lvl w:ilvl="8" w:tplc="DF30DE3C">
      <w:numFmt w:val="decimal"/>
      <w:lvlText w:val=""/>
      <w:lvlJc w:val="left"/>
    </w:lvl>
  </w:abstractNum>
  <w:abstractNum w:abstractNumId="1" w15:restartNumberingAfterBreak="0">
    <w:nsid w:val="1C1623C8"/>
    <w:multiLevelType w:val="hybridMultilevel"/>
    <w:tmpl w:val="6CE0603A"/>
    <w:lvl w:ilvl="0" w:tplc="EA2E8138">
      <w:start w:val="1"/>
      <w:numFmt w:val="bullet"/>
      <w:lvlText w:val="●"/>
      <w:lvlJc w:val="left"/>
      <w:pPr>
        <w:ind w:left="720" w:hanging="360"/>
      </w:pPr>
    </w:lvl>
    <w:lvl w:ilvl="1" w:tplc="DAB85240">
      <w:start w:val="1"/>
      <w:numFmt w:val="bullet"/>
      <w:lvlText w:val="○"/>
      <w:lvlJc w:val="left"/>
      <w:pPr>
        <w:ind w:left="1440" w:hanging="360"/>
      </w:pPr>
    </w:lvl>
    <w:lvl w:ilvl="2" w:tplc="F198D3F8">
      <w:start w:val="1"/>
      <w:numFmt w:val="bullet"/>
      <w:lvlText w:val="■"/>
      <w:lvlJc w:val="left"/>
      <w:pPr>
        <w:ind w:left="2160" w:hanging="360"/>
      </w:pPr>
    </w:lvl>
    <w:lvl w:ilvl="3" w:tplc="790C5502">
      <w:start w:val="1"/>
      <w:numFmt w:val="bullet"/>
      <w:lvlText w:val="●"/>
      <w:lvlJc w:val="left"/>
      <w:pPr>
        <w:ind w:left="2880" w:hanging="360"/>
      </w:pPr>
    </w:lvl>
    <w:lvl w:ilvl="4" w:tplc="9038444C">
      <w:start w:val="1"/>
      <w:numFmt w:val="bullet"/>
      <w:lvlText w:val="○"/>
      <w:lvlJc w:val="left"/>
      <w:pPr>
        <w:ind w:left="3600" w:hanging="360"/>
      </w:pPr>
    </w:lvl>
    <w:lvl w:ilvl="5" w:tplc="AC8ABAF2">
      <w:start w:val="1"/>
      <w:numFmt w:val="bullet"/>
      <w:lvlText w:val="■"/>
      <w:lvlJc w:val="left"/>
      <w:pPr>
        <w:ind w:left="4320" w:hanging="360"/>
      </w:pPr>
    </w:lvl>
    <w:lvl w:ilvl="6" w:tplc="5436FE5E">
      <w:start w:val="1"/>
      <w:numFmt w:val="bullet"/>
      <w:lvlText w:val="●"/>
      <w:lvlJc w:val="left"/>
      <w:pPr>
        <w:ind w:left="5040" w:hanging="360"/>
      </w:pPr>
    </w:lvl>
    <w:lvl w:ilvl="7" w:tplc="26BED04A">
      <w:start w:val="1"/>
      <w:numFmt w:val="bullet"/>
      <w:lvlText w:val="●"/>
      <w:lvlJc w:val="left"/>
      <w:pPr>
        <w:ind w:left="5760" w:hanging="360"/>
      </w:pPr>
    </w:lvl>
    <w:lvl w:ilvl="8" w:tplc="632E54DA">
      <w:start w:val="1"/>
      <w:numFmt w:val="bullet"/>
      <w:lvlText w:val="●"/>
      <w:lvlJc w:val="left"/>
      <w:pPr>
        <w:ind w:left="6480" w:hanging="360"/>
      </w:pPr>
    </w:lvl>
  </w:abstractNum>
  <w:num w:numId="1" w16cid:durableId="273557689">
    <w:abstractNumId w:val="1"/>
    <w:lvlOverride w:ilvl="0">
      <w:startOverride w:val="1"/>
    </w:lvlOverride>
  </w:num>
  <w:num w:numId="2" w16cid:durableId="1145774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359"/>
    <w:rsid w:val="00275359"/>
    <w:rsid w:val="00A23B62"/>
    <w:rsid w:val="00B45DC9"/>
    <w:rsid w:val="00C82885"/>
    <w:rsid w:val="00D11491"/>
    <w:rsid w:val="00DA76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61EA"/>
  <w15:docId w15:val="{F3248259-AF74-4367-B1E1-9F451A60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3315</Words>
  <Characters>18900</Characters>
  <Application>Microsoft Office Word</Application>
  <DocSecurity>0</DocSecurity>
  <Lines>157</Lines>
  <Paragraphs>44</Paragraphs>
  <ScaleCrop>false</ScaleCrop>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2</cp:revision>
  <dcterms:created xsi:type="dcterms:W3CDTF">2026-09-24T18:09:00Z</dcterms:created>
  <dcterms:modified xsi:type="dcterms:W3CDTF">2026-09-24T18:09:00Z</dcterms:modified>
</cp:coreProperties>
</file>