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8D52" w14:textId="77777777" w:rsidR="001515F2" w:rsidRPr="00786582" w:rsidRDefault="001515F2">
      <w:pPr>
        <w:spacing w:before="1600"/>
        <w:rPr>
          <w:sz w:val="56"/>
          <w:szCs w:val="56"/>
        </w:rPr>
      </w:pPr>
    </w:p>
    <w:p w14:paraId="70F56BB0" w14:textId="77777777" w:rsidR="001515F2" w:rsidRPr="00786582" w:rsidRDefault="005C104D">
      <w:pPr>
        <w:spacing w:after="240"/>
        <w:jc w:val="center"/>
        <w:rPr>
          <w:sz w:val="56"/>
          <w:szCs w:val="56"/>
        </w:rPr>
      </w:pPr>
      <w:r w:rsidRPr="00786582">
        <w:rPr>
          <w:b/>
          <w:bCs/>
          <w:sz w:val="56"/>
          <w:szCs w:val="56"/>
        </w:rPr>
        <w:t>CASE ANALYSIS REPORT</w:t>
      </w:r>
    </w:p>
    <w:p w14:paraId="1231242B" w14:textId="77777777" w:rsidR="00F02F8C" w:rsidRDefault="00304E91">
      <w:pPr>
        <w:spacing w:after="3600"/>
        <w:jc w:val="center"/>
      </w:pPr>
      <w:r>
        <w:rPr>
          <w:b/>
          <w:bCs/>
          <w:i/>
          <w:iCs/>
          <w:sz w:val="28"/>
          <w:szCs w:val="28"/>
        </w:rPr>
        <w:t>Balfour v Balfour [1919] 2 KB 571</w:t>
      </w:r>
    </w:p>
    <w:p w14:paraId="02454863" w14:textId="77777777" w:rsidR="001515F2" w:rsidRDefault="005C104D">
      <w:pPr>
        <w:spacing w:after="220"/>
        <w:jc w:val="center"/>
      </w:pPr>
      <w:r>
        <w:t>Student Name: Manoj Kumar K</w:t>
      </w:r>
    </w:p>
    <w:p w14:paraId="36F6AB5F" w14:textId="77777777" w:rsidR="001515F2" w:rsidRDefault="005C104D">
      <w:pPr>
        <w:spacing w:after="220"/>
        <w:jc w:val="center"/>
      </w:pPr>
      <w:r>
        <w:t>Register Number: 5272510210</w:t>
      </w:r>
    </w:p>
    <w:p w14:paraId="528DE174" w14:textId="5E1BD1F9" w:rsidR="00F02F8C" w:rsidRDefault="00304E91">
      <w:pPr>
        <w:spacing w:after="220"/>
        <w:jc w:val="center"/>
      </w:pPr>
      <w:r>
        <w:t>Title: Case Analysis — Balfour v Balfour [1919]</w:t>
      </w:r>
    </w:p>
    <w:p w14:paraId="280F12AF" w14:textId="77777777" w:rsidR="001515F2" w:rsidRDefault="005C104D">
      <w:r>
        <w:br w:type="page"/>
      </w:r>
    </w:p>
    <w:p w14:paraId="654C7A7F" w14:textId="77777777" w:rsidR="001515F2" w:rsidRDefault="001515F2">
      <w:pPr>
        <w:sectPr w:rsidR="001515F2">
          <w:pgSz w:w="12240" w:h="15840"/>
          <w:pgMar w:top="1440" w:right="1440" w:bottom="1440" w:left="1440" w:header="708" w:footer="708" w:gutter="0"/>
          <w:cols w:space="720"/>
          <w:docGrid w:linePitch="360"/>
        </w:sectPr>
      </w:pPr>
    </w:p>
    <w:p w14:paraId="42043972" w14:textId="77777777" w:rsidR="001515F2" w:rsidRDefault="005C104D">
      <w:pPr>
        <w:pStyle w:val="Heading1"/>
        <w:spacing w:before="320" w:after="160"/>
      </w:pPr>
      <w:r>
        <w:rPr>
          <w:b/>
          <w:bCs/>
          <w:color w:val="000000"/>
          <w:sz w:val="28"/>
          <w:szCs w:val="28"/>
        </w:rPr>
        <w:lastRenderedPageBreak/>
        <w:t>1. Introduction</w:t>
      </w:r>
    </w:p>
    <w:p w14:paraId="371CA60D" w14:textId="77777777" w:rsidR="001515F2" w:rsidRDefault="005C104D">
      <w:pPr>
        <w:pStyle w:val="Heading2"/>
        <w:spacing w:before="220" w:after="120"/>
      </w:pPr>
      <w:r>
        <w:rPr>
          <w:b/>
          <w:bCs/>
          <w:color w:val="000000"/>
          <w:sz w:val="24"/>
          <w:szCs w:val="24"/>
        </w:rPr>
        <w:t>1.1 Case Citation &amp; Jurisdiction</w:t>
      </w:r>
    </w:p>
    <w:p w14:paraId="611B202E" w14:textId="77777777" w:rsidR="00F02F8C" w:rsidRDefault="00304E91">
      <w:pPr>
        <w:pStyle w:val="ListParagraph"/>
        <w:numPr>
          <w:ilvl w:val="0"/>
          <w:numId w:val="4"/>
        </w:numPr>
        <w:spacing w:after="100" w:line="290" w:lineRule="auto"/>
        <w:jc w:val="both"/>
      </w:pPr>
      <w:r>
        <w:t>Case Name: Balfour v Balfour</w:t>
      </w:r>
    </w:p>
    <w:p w14:paraId="68AE6E48" w14:textId="77777777" w:rsidR="00F02F8C" w:rsidRDefault="00304E91">
      <w:pPr>
        <w:pStyle w:val="ListParagraph"/>
        <w:numPr>
          <w:ilvl w:val="0"/>
          <w:numId w:val="4"/>
        </w:numPr>
        <w:spacing w:after="100" w:line="290" w:lineRule="auto"/>
        <w:jc w:val="both"/>
      </w:pPr>
      <w:r>
        <w:t>Citation: [1919] 2 KB 571</w:t>
      </w:r>
    </w:p>
    <w:p w14:paraId="06C9BDBD" w14:textId="77777777" w:rsidR="00F02F8C" w:rsidRDefault="00304E91">
      <w:pPr>
        <w:pStyle w:val="ListParagraph"/>
        <w:numPr>
          <w:ilvl w:val="0"/>
          <w:numId w:val="4"/>
        </w:numPr>
        <w:spacing w:after="100" w:line="290" w:lineRule="auto"/>
        <w:jc w:val="both"/>
      </w:pPr>
      <w:r>
        <w:t>Court: Court of Appeal (England and Wales)</w:t>
      </w:r>
    </w:p>
    <w:p w14:paraId="0480BFA0" w14:textId="77777777" w:rsidR="00F02F8C" w:rsidRDefault="00304E91">
      <w:pPr>
        <w:pStyle w:val="ListParagraph"/>
        <w:numPr>
          <w:ilvl w:val="0"/>
          <w:numId w:val="4"/>
        </w:numPr>
        <w:spacing w:after="100" w:line="290" w:lineRule="auto"/>
        <w:jc w:val="both"/>
      </w:pPr>
      <w:r>
        <w:t>Bench: Warrington LJ, Duke LJ, and Atkin LJ</w:t>
      </w:r>
    </w:p>
    <w:p w14:paraId="5A4406EF" w14:textId="77777777" w:rsidR="00F02F8C" w:rsidRDefault="00304E91">
      <w:pPr>
        <w:pStyle w:val="ListParagraph"/>
        <w:numPr>
          <w:ilvl w:val="0"/>
          <w:numId w:val="4"/>
        </w:numPr>
        <w:spacing w:after="100" w:line="290" w:lineRule="auto"/>
        <w:jc w:val="both"/>
      </w:pPr>
      <w:r>
        <w:t>Year of Judgment: 1919</w:t>
      </w:r>
    </w:p>
    <w:p w14:paraId="7ECAE64C" w14:textId="77777777" w:rsidR="00F02F8C" w:rsidRDefault="00304E91">
      <w:pPr>
        <w:pStyle w:val="ListParagraph"/>
        <w:numPr>
          <w:ilvl w:val="0"/>
          <w:numId w:val="4"/>
        </w:numPr>
        <w:spacing w:after="100" w:line="290" w:lineRule="auto"/>
        <w:jc w:val="both"/>
      </w:pPr>
      <w:r>
        <w:t>Prior Court: King's Bench Division, before Sargant J, who found in favour of Mrs. Balfour and held the promise enforceable; Mr. Balfour's appeal against that decision was allowed by the Court of Appeal.</w:t>
      </w:r>
    </w:p>
    <w:p w14:paraId="62485BAC" w14:textId="77777777" w:rsidR="001515F2" w:rsidRDefault="005C104D">
      <w:pPr>
        <w:pStyle w:val="ListParagraph"/>
        <w:numPr>
          <w:ilvl w:val="0"/>
          <w:numId w:val="2"/>
        </w:numPr>
        <w:spacing w:after="100" w:line="290" w:lineRule="auto"/>
        <w:jc w:val="both"/>
      </w:pPr>
      <w:r>
        <w:t>Case Name: Hadley v Baxendale</w:t>
      </w:r>
    </w:p>
    <w:p w14:paraId="0CF1C967" w14:textId="77777777" w:rsidR="001515F2" w:rsidRDefault="005C104D">
      <w:pPr>
        <w:pStyle w:val="ListParagraph"/>
        <w:numPr>
          <w:ilvl w:val="0"/>
          <w:numId w:val="2"/>
        </w:numPr>
        <w:spacing w:after="100" w:line="290" w:lineRule="auto"/>
        <w:jc w:val="both"/>
      </w:pPr>
      <w:r>
        <w:t>Citation: (1854) 9 Exch 341; 156 ER 145</w:t>
      </w:r>
    </w:p>
    <w:p w14:paraId="32C827D2" w14:textId="77777777" w:rsidR="001515F2" w:rsidRDefault="005C104D">
      <w:pPr>
        <w:pStyle w:val="ListParagraph"/>
        <w:numPr>
          <w:ilvl w:val="0"/>
          <w:numId w:val="2"/>
        </w:numPr>
        <w:spacing w:after="100" w:line="290" w:lineRule="auto"/>
        <w:jc w:val="both"/>
      </w:pPr>
      <w:r>
        <w:t>Court: Court of Exchequer (England)</w:t>
      </w:r>
    </w:p>
    <w:p w14:paraId="43AC6DFE" w14:textId="77777777" w:rsidR="001515F2" w:rsidRDefault="005C104D">
      <w:pPr>
        <w:pStyle w:val="ListParagraph"/>
        <w:numPr>
          <w:ilvl w:val="0"/>
          <w:numId w:val="2"/>
        </w:numPr>
        <w:spacing w:after="100" w:line="290" w:lineRule="auto"/>
        <w:jc w:val="both"/>
      </w:pPr>
      <w:r>
        <w:t>Bench: Judgment delivered by Alderson B, sitting with the other Barons of the Exchequer</w:t>
      </w:r>
    </w:p>
    <w:p w14:paraId="490486C9" w14:textId="77777777" w:rsidR="001515F2" w:rsidRDefault="005C104D">
      <w:pPr>
        <w:pStyle w:val="ListParagraph"/>
        <w:numPr>
          <w:ilvl w:val="0"/>
          <w:numId w:val="2"/>
        </w:numPr>
        <w:spacing w:after="100" w:line="290" w:lineRule="auto"/>
        <w:jc w:val="both"/>
      </w:pPr>
      <w:r>
        <w:t>Year of Judgment: 1854</w:t>
      </w:r>
    </w:p>
    <w:p w14:paraId="4DB39ADF" w14:textId="77777777" w:rsidR="001515F2" w:rsidRDefault="005C104D">
      <w:pPr>
        <w:pStyle w:val="ListParagraph"/>
        <w:numPr>
          <w:ilvl w:val="0"/>
          <w:numId w:val="2"/>
        </w:numPr>
        <w:spacing w:after="100" w:line="290" w:lineRule="auto"/>
        <w:jc w:val="both"/>
      </w:pPr>
      <w:r>
        <w:t>Prior Proceedings: At the assizes, the jury had found in favour of Hadley and awarded damages that included the mill's lost profits for the period of delay; Baxendale sought a new trial on the ground that the jury had been misdirected as to the proper measure of damages.</w:t>
      </w:r>
    </w:p>
    <w:p w14:paraId="48F1EBE4" w14:textId="77777777" w:rsidR="001515F2" w:rsidRDefault="005C104D">
      <w:pPr>
        <w:pStyle w:val="Heading2"/>
        <w:spacing w:before="220" w:after="120"/>
      </w:pPr>
      <w:r>
        <w:rPr>
          <w:b/>
          <w:bCs/>
          <w:color w:val="000000"/>
          <w:sz w:val="24"/>
          <w:szCs w:val="24"/>
        </w:rPr>
        <w:t>1.2 Brief Introduction to the Case</w:t>
      </w:r>
    </w:p>
    <w:p w14:paraId="03F37474" w14:textId="77777777" w:rsidR="00F02F8C" w:rsidRDefault="00304E91">
      <w:pPr>
        <w:spacing w:after="160" w:line="300" w:lineRule="auto"/>
        <w:jc w:val="both"/>
      </w:pPr>
      <w:r>
        <w:t>Balfour v Balfour is one of the most widely studied decisions in English contract law and is the leading authority on the requirement of an intention to create legal relations. The dispute arose between a husband and wife: Mr. Balfour, a civil servant posted in Ceylon (now Sri Lanka), promised to pay his wife £30 a month to support her while she remained in England for medical treatment. When the marriage later broke down and Mr. Balfour stopped making the payments, Mrs. Balfour sued to enforce the promise as a binding contract.</w:t>
      </w:r>
    </w:p>
    <w:p w14:paraId="2DC74BD3" w14:textId="77777777" w:rsidR="00F02F8C" w:rsidRDefault="00304E91">
      <w:pPr>
        <w:spacing w:after="160" w:line="300" w:lineRule="auto"/>
        <w:jc w:val="both"/>
      </w:pPr>
      <w:r>
        <w:t>At its core, the case asks a deceptively simple question: can an everyday promise made between a husband and wife, in the ordinary course of married life, amount to a legally binding contract? The Court of Appeal's answer — that it cannot, because the parties never intended their arrangement to carry legal consequences — established intention to create legal relations as an independent, indispensable element of contract formation, standing alongside offer, acceptance, and consideration. The judgment of Atkin LJ, in particular, remains one of the most frequently cited passages in the law of contract.</w:t>
      </w:r>
    </w:p>
    <w:p w14:paraId="5834CD1A" w14:textId="77777777" w:rsidR="001515F2" w:rsidRDefault="005C104D">
      <w:pPr>
        <w:spacing w:after="160" w:line="300" w:lineRule="auto"/>
        <w:jc w:val="both"/>
      </w:pPr>
      <w:r>
        <w:lastRenderedPageBreak/>
        <w:t>Hadley v Baxendale is the foundational decision on the measure of damages for breach of contract in English law and remains one of the first cases encountered by every student of contract law. The dispute arose when a mill owner, Hadley, engaged a firm of common carriers, run by Baxendale, to transport a broken mill crankshaft to an engineering works so that a replacement could be built. The carrier's delay in delivering the shaft kept the mill closed for several additional days, and Hadley sued to recover the profits lost during that period.</w:t>
      </w:r>
    </w:p>
    <w:p w14:paraId="7CAD3D87" w14:textId="77777777" w:rsidR="001515F2" w:rsidRDefault="005C104D">
      <w:pPr>
        <w:spacing w:after="160" w:line="300" w:lineRule="auto"/>
        <w:jc w:val="both"/>
      </w:pPr>
      <w:r>
        <w:t>At its heart, the case asks a foundational question of contract law: when a party breaches a contract, is it liable for every loss that flows from that breach, however unusual or unforeseen, or only for losses of a kind the parties could reasonably have anticipated when they made their bargain? The Court of Exchequer's answer — that liability is limited to loss that either arises naturally from the breach or was specifically communicated to the defendant at the time of contracting — created the foreseeability rule that continues to govern the assessment of contractual damages in England, the United States, and throughout the common law world.</w:t>
      </w:r>
    </w:p>
    <w:p w14:paraId="51B4B4A5" w14:textId="77777777" w:rsidR="001515F2" w:rsidRDefault="005C104D">
      <w:pPr>
        <w:pStyle w:val="Heading1"/>
        <w:spacing w:before="320" w:after="160"/>
      </w:pPr>
      <w:r>
        <w:rPr>
          <w:b/>
          <w:bCs/>
          <w:color w:val="000000"/>
          <w:sz w:val="28"/>
          <w:szCs w:val="28"/>
        </w:rPr>
        <w:t>2. Facts of the Case</w:t>
      </w:r>
    </w:p>
    <w:p w14:paraId="1C82F35D" w14:textId="77777777" w:rsidR="001515F2" w:rsidRDefault="005C104D">
      <w:pPr>
        <w:pStyle w:val="Heading2"/>
        <w:spacing w:before="220" w:after="120"/>
      </w:pPr>
      <w:r>
        <w:rPr>
          <w:b/>
          <w:bCs/>
          <w:color w:val="000000"/>
          <w:sz w:val="24"/>
          <w:szCs w:val="24"/>
        </w:rPr>
        <w:t>2.1 Chronological Summary of Events</w:t>
      </w:r>
    </w:p>
    <w:p w14:paraId="66BEECF5" w14:textId="77777777" w:rsidR="00F02F8C" w:rsidRDefault="00304E91">
      <w:pPr>
        <w:pStyle w:val="ListParagraph"/>
        <w:numPr>
          <w:ilvl w:val="0"/>
          <w:numId w:val="4"/>
        </w:numPr>
        <w:spacing w:after="100" w:line="290" w:lineRule="auto"/>
        <w:jc w:val="both"/>
      </w:pPr>
      <w:r>
        <w:t>1900 — Mr. Balfour and Mrs. Balfour married and, for much of their marriage, lived together in Ceylon, where Mr. Balfour worked as a civil servant.</w:t>
      </w:r>
    </w:p>
    <w:p w14:paraId="4595595B" w14:textId="77777777" w:rsidR="00F02F8C" w:rsidRDefault="00304E91">
      <w:pPr>
        <w:pStyle w:val="ListParagraph"/>
        <w:numPr>
          <w:ilvl w:val="0"/>
          <w:numId w:val="4"/>
        </w:numPr>
        <w:spacing w:after="100" w:line="290" w:lineRule="auto"/>
        <w:jc w:val="both"/>
      </w:pPr>
      <w:r>
        <w:t>1915 — The couple travelled to England together while Mr. Balfour was on leave from his post.</w:t>
      </w:r>
    </w:p>
    <w:p w14:paraId="0D91D68C" w14:textId="77777777" w:rsidR="00F02F8C" w:rsidRDefault="00304E91">
      <w:pPr>
        <w:pStyle w:val="ListParagraph"/>
        <w:numPr>
          <w:ilvl w:val="0"/>
          <w:numId w:val="4"/>
        </w:numPr>
        <w:spacing w:after="100" w:line="290" w:lineRule="auto"/>
        <w:jc w:val="both"/>
      </w:pPr>
      <w:r>
        <w:t>1916 — Before Mr. Balfour was due to return to Ceylon, Mrs. Balfour fell ill and, on medical advice, had to remain in England for treatment rather than travel back with him.</w:t>
      </w:r>
    </w:p>
    <w:p w14:paraId="2EE06E36" w14:textId="77777777" w:rsidR="00F02F8C" w:rsidRDefault="00304E91">
      <w:pPr>
        <w:pStyle w:val="ListParagraph"/>
        <w:numPr>
          <w:ilvl w:val="0"/>
          <w:numId w:val="4"/>
        </w:numPr>
        <w:spacing w:after="100" w:line="290" w:lineRule="auto"/>
        <w:jc w:val="both"/>
      </w:pPr>
      <w:r>
        <w:t>Before sailing back to Ceylon, Mr. Balfour promised to pay Mrs. Balfour £30 per month as maintenance for as long as she remained apart from him in England. He returned to Ceylon alone and, for a time, continued to send the money.</w:t>
      </w:r>
    </w:p>
    <w:p w14:paraId="72F0CDAE" w14:textId="77777777" w:rsidR="00F02F8C" w:rsidRDefault="00304E91">
      <w:pPr>
        <w:pStyle w:val="ListParagraph"/>
        <w:numPr>
          <w:ilvl w:val="0"/>
          <w:numId w:val="4"/>
        </w:numPr>
        <w:spacing w:after="100" w:line="290" w:lineRule="auto"/>
        <w:jc w:val="both"/>
      </w:pPr>
      <w:r>
        <w:t>The relationship between the couple subsequently deteriorated. Mr. Balfour asked that they remain apart, and the couple eventually separated; the marriage ended in divorce in 1918.</w:t>
      </w:r>
    </w:p>
    <w:p w14:paraId="1B0F71AB" w14:textId="77777777" w:rsidR="00F02F8C" w:rsidRDefault="00304E91">
      <w:pPr>
        <w:pStyle w:val="ListParagraph"/>
        <w:numPr>
          <w:ilvl w:val="0"/>
          <w:numId w:val="4"/>
        </w:numPr>
        <w:spacing w:after="100" w:line="290" w:lineRule="auto"/>
        <w:jc w:val="both"/>
      </w:pPr>
      <w:r>
        <w:t>After the separation, Mr. Balfour stopped making the monthly payments. Mrs. Balfour brought an action to enforce the promise, claiming the £30 a month as a debt due under a binding contract.</w:t>
      </w:r>
    </w:p>
    <w:p w14:paraId="3A885E80" w14:textId="77777777" w:rsidR="00F02F8C" w:rsidRDefault="00304E91">
      <w:pPr>
        <w:pStyle w:val="ListParagraph"/>
        <w:numPr>
          <w:ilvl w:val="0"/>
          <w:numId w:val="4"/>
        </w:numPr>
        <w:spacing w:after="100" w:line="290" w:lineRule="auto"/>
        <w:jc w:val="both"/>
      </w:pPr>
      <w:r>
        <w:t>At first instance, Sargant J in the King's Bench Division found in Mrs. Balfour's favour, holding that her agreement to the arrangement, and the position she had taken in reliance on it, amounted to sufficient consideration to support an enforceable contract.</w:t>
      </w:r>
    </w:p>
    <w:p w14:paraId="1C9E22E1" w14:textId="77777777" w:rsidR="00F02F8C" w:rsidRDefault="00304E91">
      <w:pPr>
        <w:pStyle w:val="ListParagraph"/>
        <w:numPr>
          <w:ilvl w:val="0"/>
          <w:numId w:val="4"/>
        </w:numPr>
        <w:spacing w:after="100" w:line="290" w:lineRule="auto"/>
        <w:jc w:val="both"/>
      </w:pPr>
      <w:r>
        <w:lastRenderedPageBreak/>
        <w:t>Mr. Balfour appealed to the Court of Appeal, arguing that no contract had ever been intended and that the promise was simply part of the ordinary domestic arrangements of a married couple.</w:t>
      </w:r>
    </w:p>
    <w:p w14:paraId="79ACC510" w14:textId="77777777" w:rsidR="00F02F8C" w:rsidRDefault="00304E91">
      <w:pPr>
        <w:pStyle w:val="ListParagraph"/>
        <w:numPr>
          <w:ilvl w:val="0"/>
          <w:numId w:val="4"/>
        </w:numPr>
        <w:spacing w:after="100" w:line="290" w:lineRule="auto"/>
        <w:jc w:val="both"/>
      </w:pPr>
      <w:r>
        <w:t>1919 — The Court of Appeal unanimously allowed the appeal, holding that the promise was not a legally binding contract because the parties had never intended it to be attended by legal consequences.</w:t>
      </w:r>
    </w:p>
    <w:p w14:paraId="50914B38" w14:textId="77777777" w:rsidR="001515F2" w:rsidRDefault="005C104D">
      <w:pPr>
        <w:pStyle w:val="ListParagraph"/>
        <w:numPr>
          <w:ilvl w:val="0"/>
          <w:numId w:val="2"/>
        </w:numPr>
        <w:spacing w:after="100" w:line="290" w:lineRule="auto"/>
        <w:jc w:val="both"/>
      </w:pPr>
      <w:r>
        <w:t>Hadley owned and operated a corn mill in Gloucester, England. The mill's steam engine suffered a broken crankshaft, a critical component whose failure brought the entire milling operation to a complete halt.</w:t>
      </w:r>
    </w:p>
    <w:p w14:paraId="70FF851F" w14:textId="77777777" w:rsidR="001515F2" w:rsidRDefault="005C104D">
      <w:pPr>
        <w:pStyle w:val="ListParagraph"/>
        <w:numPr>
          <w:ilvl w:val="0"/>
          <w:numId w:val="2"/>
        </w:numPr>
        <w:spacing w:after="100" w:line="290" w:lineRule="auto"/>
        <w:jc w:val="both"/>
      </w:pPr>
      <w:r>
        <w:t>To resume operations, Hadley needed a new crankshaft built to match the broken one, and the broken shaft had to be sent to the manufacturer, W. Joyce &amp; Co., to serve as a pattern for the replacement.</w:t>
      </w:r>
    </w:p>
    <w:p w14:paraId="15A2F80A" w14:textId="77777777" w:rsidR="001515F2" w:rsidRDefault="005C104D">
      <w:pPr>
        <w:pStyle w:val="ListParagraph"/>
        <w:numPr>
          <w:ilvl w:val="0"/>
          <w:numId w:val="2"/>
        </w:numPr>
        <w:spacing w:after="100" w:line="290" w:lineRule="auto"/>
        <w:jc w:val="both"/>
      </w:pPr>
      <w:r>
        <w:t>Hadley engaged Pickford &amp; Company, a firm of common carriers owned by Baxendale, to transport the broken crankshaft to the manufacturer. He paid for expedited carriage, and Pickford's clerk promised that the shaft would be delivered by the following day.</w:t>
      </w:r>
    </w:p>
    <w:p w14:paraId="28126230" w14:textId="77777777" w:rsidR="001515F2" w:rsidRDefault="005C104D">
      <w:pPr>
        <w:pStyle w:val="ListParagraph"/>
        <w:numPr>
          <w:ilvl w:val="0"/>
          <w:numId w:val="2"/>
        </w:numPr>
        <w:spacing w:after="100" w:line="290" w:lineRule="auto"/>
        <w:jc w:val="both"/>
      </w:pPr>
      <w:r>
        <w:t>Due to the carrier's neglect, delivery of the shaft was significantly delayed beyond the promised timeframe, and as a direct result, the mill remained shut down for five additional days beyond what would otherwise have been necessary.</w:t>
      </w:r>
    </w:p>
    <w:p w14:paraId="644D9B02" w14:textId="77777777" w:rsidR="001515F2" w:rsidRDefault="005C104D">
      <w:pPr>
        <w:pStyle w:val="ListParagraph"/>
        <w:numPr>
          <w:ilvl w:val="0"/>
          <w:numId w:val="2"/>
        </w:numPr>
        <w:spacing w:after="100" w:line="290" w:lineRule="auto"/>
        <w:jc w:val="both"/>
      </w:pPr>
      <w:r>
        <w:t>Hadley sued Baxendale for breach of the carriage contract, seeking damages for the profits the mill lost during those five extra days of enforced closure.</w:t>
      </w:r>
    </w:p>
    <w:p w14:paraId="10409830" w14:textId="77777777" w:rsidR="001515F2" w:rsidRDefault="005C104D">
      <w:pPr>
        <w:pStyle w:val="ListParagraph"/>
        <w:numPr>
          <w:ilvl w:val="0"/>
          <w:numId w:val="2"/>
        </w:numPr>
        <w:spacing w:after="100" w:line="290" w:lineRule="auto"/>
        <w:jc w:val="both"/>
      </w:pPr>
      <w:r>
        <w:t>At trial, the jury found in Hadley's favour and awarded damages that included compensation for the mill's lost profits, applying a broad measure of loss flowing from the delay.</w:t>
      </w:r>
    </w:p>
    <w:p w14:paraId="191B119A" w14:textId="77777777" w:rsidR="001515F2" w:rsidRDefault="005C104D">
      <w:pPr>
        <w:pStyle w:val="ListParagraph"/>
        <w:numPr>
          <w:ilvl w:val="0"/>
          <w:numId w:val="2"/>
        </w:numPr>
        <w:spacing w:after="100" w:line="290" w:lineRule="auto"/>
        <w:jc w:val="both"/>
      </w:pPr>
      <w:r>
        <w:t>Baxendale sought a new trial, arguing that the trial judge had misdirected the jury: the loss of profits, he contended, was not a loss the carrier could reasonably have anticipated from a routine carriage contract, and it was therefore an inappropriate basis for damages.</w:t>
      </w:r>
    </w:p>
    <w:p w14:paraId="3E7F0235" w14:textId="77777777" w:rsidR="001515F2" w:rsidRDefault="005C104D">
      <w:pPr>
        <w:pStyle w:val="ListParagraph"/>
        <w:numPr>
          <w:ilvl w:val="0"/>
          <w:numId w:val="2"/>
        </w:numPr>
        <w:spacing w:after="100" w:line="290" w:lineRule="auto"/>
        <w:jc w:val="both"/>
      </w:pPr>
      <w:r>
        <w:t>The matter came before the Court of Exchequer, which had to decide whether the broad measure of damages awarded at trial was legally correct.</w:t>
      </w:r>
    </w:p>
    <w:p w14:paraId="7410E0E8" w14:textId="77777777" w:rsidR="001515F2" w:rsidRDefault="005C104D">
      <w:pPr>
        <w:pStyle w:val="Heading2"/>
        <w:spacing w:before="220" w:after="120"/>
      </w:pPr>
      <w:r>
        <w:rPr>
          <w:b/>
          <w:bCs/>
          <w:color w:val="000000"/>
          <w:sz w:val="24"/>
          <w:szCs w:val="24"/>
        </w:rPr>
        <w:t>2.2 Material Commercial Context</w:t>
      </w:r>
    </w:p>
    <w:p w14:paraId="46912C47" w14:textId="77777777" w:rsidR="00F02F8C" w:rsidRDefault="00304E91">
      <w:pPr>
        <w:spacing w:after="160" w:line="300" w:lineRule="auto"/>
        <w:jc w:val="both"/>
      </w:pPr>
      <w:r>
        <w:t>Unlike many contract-law cases, the underlying relationship here was not commercial but domestic: a marriage that was, at the time the promise was made, intact and amicable. There was no business transaction, negotiation, or bargained-for exchange of the kind found in commercial dealings — only the ordinary spousal support that arises out of a period of enforced separation caused by Mrs. Balfour's ill health.</w:t>
      </w:r>
    </w:p>
    <w:p w14:paraId="4A5C6D58" w14:textId="77777777" w:rsidR="00F02F8C" w:rsidRDefault="00304E91">
      <w:pPr>
        <w:pStyle w:val="ListParagraph"/>
        <w:numPr>
          <w:ilvl w:val="0"/>
          <w:numId w:val="4"/>
        </w:numPr>
        <w:spacing w:after="100" w:line="290" w:lineRule="auto"/>
        <w:jc w:val="both"/>
      </w:pPr>
      <w:r>
        <w:lastRenderedPageBreak/>
        <w:t>The promise of £30 a month was made informally, without documentation, legal advice, or negotiation of terms — features typically present in a genuine commercial agreement but absent here.</w:t>
      </w:r>
    </w:p>
    <w:p w14:paraId="56DBA2BB" w14:textId="77777777" w:rsidR="00F02F8C" w:rsidRDefault="00304E91">
      <w:pPr>
        <w:pStyle w:val="ListParagraph"/>
        <w:numPr>
          <w:ilvl w:val="0"/>
          <w:numId w:val="4"/>
        </w:numPr>
        <w:spacing w:after="100" w:line="290" w:lineRule="auto"/>
        <w:jc w:val="both"/>
      </w:pPr>
      <w:r>
        <w:t>This absence of any commercial or transactional context is precisely what gives rise to the presumption at the heart of the case: promises made within the domestic sphere, between people bound by natural affection rather than commercial self-interest, are not ordinarily meant to be enforceable at law.</w:t>
      </w:r>
    </w:p>
    <w:p w14:paraId="42FED100" w14:textId="77777777" w:rsidR="00F02F8C" w:rsidRDefault="00304E91">
      <w:pPr>
        <w:pStyle w:val="ListParagraph"/>
        <w:numPr>
          <w:ilvl w:val="0"/>
          <w:numId w:val="4"/>
        </w:numPr>
        <w:spacing w:after="100" w:line="290" w:lineRule="auto"/>
        <w:jc w:val="both"/>
      </w:pPr>
      <w:r>
        <w:t>The breakdown of the marriage occurred only after the promise was made, so the arrangement had to be assessed as it stood between two spouses on amicable terms — a materially different context from a formal separation agreement negotiated once a marriage has already failed, as in the later case of Merritt v Merritt.</w:t>
      </w:r>
    </w:p>
    <w:p w14:paraId="5D264D8D" w14:textId="20E800C7" w:rsidR="001515F2" w:rsidRDefault="005C104D" w:rsidP="00BA4F5C">
      <w:r>
        <w:t>The underlying transaction was an ordinary contract of carriage — a common commercial arrangement in nineteenth-century England, where carriers such as Pickford &amp; Company routinely transported goods, parts, and machinery between industrial premises and manufacturers on a fee-paying basis.</w:t>
      </w:r>
    </w:p>
    <w:p w14:paraId="217A0705" w14:textId="77777777" w:rsidR="001515F2" w:rsidRDefault="005C104D">
      <w:pPr>
        <w:pStyle w:val="ListParagraph"/>
        <w:numPr>
          <w:ilvl w:val="0"/>
          <w:numId w:val="2"/>
        </w:numPr>
        <w:spacing w:after="100" w:line="290" w:lineRule="auto"/>
        <w:jc w:val="both"/>
      </w:pPr>
      <w:r>
        <w:t>Milling was a time-sensitive commercial operation: every day the mill remained closed represented a direct loss of production and profit, but this vulnerability was not something the carrier could necessarily have known simply from being asked to carry a broken machine part.</w:t>
      </w:r>
    </w:p>
    <w:p w14:paraId="616C1AC3" w14:textId="77777777" w:rsidR="001515F2" w:rsidRDefault="005C104D">
      <w:pPr>
        <w:pStyle w:val="ListParagraph"/>
        <w:numPr>
          <w:ilvl w:val="0"/>
          <w:numId w:val="2"/>
        </w:numPr>
        <w:spacing w:after="100" w:line="290" w:lineRule="auto"/>
        <w:jc w:val="both"/>
      </w:pPr>
      <w:r>
        <w:t>The contract between Hadley and Pickford was a standard carriage agreement, with an added element of urgency — Hadley paid extra for expedited delivery and was promised delivery by the next day — but no specific information was communicated about the extent or nature of the mill's dependency on that single shaft.</w:t>
      </w:r>
    </w:p>
    <w:p w14:paraId="0B4BA3C7" w14:textId="77777777" w:rsidR="001515F2" w:rsidRDefault="005C104D">
      <w:pPr>
        <w:pStyle w:val="ListParagraph"/>
        <w:numPr>
          <w:ilvl w:val="0"/>
          <w:numId w:val="2"/>
        </w:numPr>
        <w:spacing w:after="100" w:line="290" w:lineRule="auto"/>
        <w:jc w:val="both"/>
      </w:pPr>
      <w:r>
        <w:t>This commercial setting is central to the court's reasoning: because carriers deal with a huge range of customers and cargo, the law needed a workable rule to determine which categories of loss a carrier should reasonably price into, and bear the risk for, when contracting to carry goods without special instructions.</w:t>
      </w:r>
    </w:p>
    <w:p w14:paraId="00F9D172" w14:textId="7F7297BF" w:rsidR="001515F2" w:rsidRDefault="005C104D" w:rsidP="00E22DAB">
      <w:r>
        <w:rPr>
          <w:b/>
          <w:bCs/>
          <w:color w:val="000000"/>
          <w:sz w:val="28"/>
          <w:szCs w:val="28"/>
        </w:rPr>
        <w:t>3. Legal Issue</w:t>
      </w:r>
    </w:p>
    <w:p w14:paraId="0AE4AB54" w14:textId="77777777" w:rsidR="001515F2" w:rsidRDefault="005C104D">
      <w:pPr>
        <w:pStyle w:val="Heading2"/>
        <w:spacing w:before="220" w:after="120"/>
      </w:pPr>
      <w:r>
        <w:rPr>
          <w:b/>
          <w:bCs/>
          <w:color w:val="000000"/>
          <w:sz w:val="24"/>
          <w:szCs w:val="24"/>
        </w:rPr>
        <w:t>3.1 Primary Question of Law</w:t>
      </w:r>
    </w:p>
    <w:p w14:paraId="018D6FBD" w14:textId="77777777" w:rsidR="00F02F8C" w:rsidRDefault="00304E91">
      <w:pPr>
        <w:spacing w:after="160" w:line="300" w:lineRule="auto"/>
        <w:jc w:val="both"/>
      </w:pPr>
      <w:r>
        <w:t>Whether a promise made between a husband and wife, in the course of an intact and amicable marriage, to pay a monthly sum of maintenance can constitute a legally binding contract — and, specifically, whether the parties possessed the necessary intention to create legal relations.</w:t>
      </w:r>
    </w:p>
    <w:p w14:paraId="2A0469CF" w14:textId="77777777" w:rsidR="00F02F8C" w:rsidRDefault="00304E91">
      <w:pPr>
        <w:spacing w:after="160" w:line="300" w:lineRule="auto"/>
        <w:jc w:val="both"/>
      </w:pPr>
      <w:r>
        <w:t>This primary question resolved itself, before the Court of Appeal, into three distinct sub-issues:</w:t>
      </w:r>
    </w:p>
    <w:p w14:paraId="065BF89E" w14:textId="77777777" w:rsidR="00F02F8C" w:rsidRDefault="00304E91">
      <w:pPr>
        <w:pStyle w:val="ListParagraph"/>
        <w:numPr>
          <w:ilvl w:val="0"/>
          <w:numId w:val="4"/>
        </w:numPr>
        <w:spacing w:after="100" w:line="290" w:lineRule="auto"/>
        <w:jc w:val="both"/>
      </w:pPr>
      <w:r>
        <w:t>Whether domestic arrangements between spouses living together are, as a matter of law, presumed not to be intended as legally binding contracts.</w:t>
      </w:r>
    </w:p>
    <w:p w14:paraId="115D7488" w14:textId="77777777" w:rsidR="00F02F8C" w:rsidRDefault="00304E91">
      <w:pPr>
        <w:pStyle w:val="ListParagraph"/>
        <w:numPr>
          <w:ilvl w:val="0"/>
          <w:numId w:val="4"/>
        </w:numPr>
        <w:spacing w:after="100" w:line="290" w:lineRule="auto"/>
        <w:jc w:val="both"/>
      </w:pPr>
      <w:r>
        <w:lastRenderedPageBreak/>
        <w:t>Whether Mrs. Balfour's conduct in remaining in England, and her assent to the arrangement, amounted to consideration capable of supporting a contract, and whether consideration alone could substitute for the missing intention to create legal relations.</w:t>
      </w:r>
    </w:p>
    <w:p w14:paraId="494C428C" w14:textId="77777777" w:rsidR="00F02F8C" w:rsidRDefault="00304E91">
      <w:pPr>
        <w:pStyle w:val="ListParagraph"/>
        <w:numPr>
          <w:ilvl w:val="0"/>
          <w:numId w:val="4"/>
        </w:numPr>
        <w:spacing w:after="100" w:line="290" w:lineRule="auto"/>
        <w:jc w:val="both"/>
      </w:pPr>
      <w:r>
        <w:t>Whether the presumption against legal intent in domestic agreements could be rebutted on the facts before the court.</w:t>
      </w:r>
    </w:p>
    <w:p w14:paraId="6A6EC725" w14:textId="77777777" w:rsidR="001515F2" w:rsidRDefault="005C104D">
      <w:pPr>
        <w:spacing w:after="160" w:line="300" w:lineRule="auto"/>
        <w:jc w:val="both"/>
      </w:pPr>
      <w:r>
        <w:t>Whether a party who breaches a contract can be held liable for all consequential losses flowing from that breach — including losses, such as lost profits, that were not foreseeable or specifically communicated at the time the contract was formed.</w:t>
      </w:r>
    </w:p>
    <w:p w14:paraId="36DAC4E3" w14:textId="77777777" w:rsidR="001515F2" w:rsidRDefault="005C104D">
      <w:pPr>
        <w:spacing w:after="160" w:line="300" w:lineRule="auto"/>
        <w:jc w:val="both"/>
      </w:pPr>
      <w:r>
        <w:t>This primary question resolved itself, before the Court of Exchequer, into three distinct sub-issues:</w:t>
      </w:r>
    </w:p>
    <w:p w14:paraId="01C00845" w14:textId="77777777" w:rsidR="001515F2" w:rsidRDefault="005C104D">
      <w:pPr>
        <w:pStyle w:val="ListParagraph"/>
        <w:numPr>
          <w:ilvl w:val="0"/>
          <w:numId w:val="2"/>
        </w:numPr>
        <w:spacing w:after="100" w:line="290" w:lineRule="auto"/>
        <w:jc w:val="both"/>
      </w:pPr>
      <w:r>
        <w:t>What is the correct general measure of damages recoverable for breach of a commercial contract such as a contract of carriage?</w:t>
      </w:r>
    </w:p>
    <w:p w14:paraId="3F09DD56" w14:textId="77777777" w:rsidR="001515F2" w:rsidRDefault="005C104D">
      <w:pPr>
        <w:pStyle w:val="ListParagraph"/>
        <w:numPr>
          <w:ilvl w:val="0"/>
          <w:numId w:val="2"/>
        </w:numPr>
        <w:spacing w:after="100" w:line="290" w:lineRule="auto"/>
        <w:jc w:val="both"/>
      </w:pPr>
      <w:r>
        <w:t>Whether a request for expedited delivery, without more, gives a carrier sufficient notice that a delay will cause extraordinary loss such as a total shutdown of the customer's business.</w:t>
      </w:r>
    </w:p>
    <w:p w14:paraId="787D14C4" w14:textId="77777777" w:rsidR="001515F2" w:rsidRDefault="005C104D">
      <w:pPr>
        <w:pStyle w:val="ListParagraph"/>
        <w:numPr>
          <w:ilvl w:val="0"/>
          <w:numId w:val="2"/>
        </w:numPr>
        <w:spacing w:after="100" w:line="290" w:lineRule="auto"/>
        <w:jc w:val="both"/>
      </w:pPr>
      <w:r>
        <w:t>Whether the trial judge's direction to the jury, which permitted the broad recovery of lost profits without regard to foreseeability, was a correct statement of the law.</w:t>
      </w:r>
    </w:p>
    <w:p w14:paraId="0DA1D718" w14:textId="77777777" w:rsidR="001515F2" w:rsidRDefault="005C104D">
      <w:pPr>
        <w:pStyle w:val="Heading2"/>
        <w:spacing w:before="220" w:after="120"/>
      </w:pPr>
      <w:r>
        <w:rPr>
          <w:b/>
          <w:bCs/>
          <w:color w:val="000000"/>
          <w:sz w:val="24"/>
          <w:szCs w:val="24"/>
        </w:rPr>
        <w:t>3.2 Points of Contention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F02F8C" w14:paraId="36BE33CF" w14:textId="77777777">
        <w:trPr>
          <w:tblHeader/>
        </w:trPr>
        <w:tc>
          <w:tcPr>
            <w:tcW w:w="2500" w:type="pct"/>
            <w:shd w:val="clear" w:color="auto" w:fill="D9D9D9"/>
            <w:tcMar>
              <w:top w:w="100" w:type="dxa"/>
              <w:left w:w="120" w:type="dxa"/>
              <w:bottom w:w="100" w:type="dxa"/>
              <w:right w:w="120" w:type="dxa"/>
            </w:tcMar>
            <w:vAlign w:val="center"/>
          </w:tcPr>
          <w:p w14:paraId="14C56C38" w14:textId="77777777" w:rsidR="00F02F8C" w:rsidRDefault="00304E91">
            <w:r>
              <w:rPr>
                <w:b/>
                <w:bCs/>
              </w:rPr>
              <w:t>Party</w:t>
            </w:r>
          </w:p>
        </w:tc>
        <w:tc>
          <w:tcPr>
            <w:tcW w:w="2500" w:type="pct"/>
            <w:shd w:val="clear" w:color="auto" w:fill="D9D9D9"/>
            <w:tcMar>
              <w:top w:w="100" w:type="dxa"/>
              <w:left w:w="120" w:type="dxa"/>
              <w:bottom w:w="100" w:type="dxa"/>
              <w:right w:w="120" w:type="dxa"/>
            </w:tcMar>
            <w:vAlign w:val="center"/>
          </w:tcPr>
          <w:p w14:paraId="74D5522B" w14:textId="77777777" w:rsidR="00F02F8C" w:rsidRDefault="00304E91">
            <w:r>
              <w:rPr>
                <w:b/>
                <w:bCs/>
              </w:rPr>
              <w:t>Argument</w:t>
            </w:r>
          </w:p>
        </w:tc>
      </w:tr>
      <w:tr w:rsidR="00F02F8C" w14:paraId="58A4B906" w14:textId="77777777">
        <w:tc>
          <w:tcPr>
            <w:tcW w:w="2500" w:type="pct"/>
            <w:tcMar>
              <w:top w:w="100" w:type="dxa"/>
              <w:left w:w="120" w:type="dxa"/>
              <w:bottom w:w="100" w:type="dxa"/>
              <w:right w:w="120" w:type="dxa"/>
            </w:tcMar>
          </w:tcPr>
          <w:p w14:paraId="39D64D2A" w14:textId="77777777" w:rsidR="00F02F8C" w:rsidRDefault="00304E91">
            <w:pPr>
              <w:jc w:val="both"/>
            </w:pPr>
            <w:r>
              <w:rPr>
                <w:b/>
                <w:bCs/>
              </w:rPr>
              <w:t>Mrs. Balfour (Claimant)</w:t>
            </w:r>
          </w:p>
        </w:tc>
        <w:tc>
          <w:tcPr>
            <w:tcW w:w="2500" w:type="pct"/>
            <w:tcMar>
              <w:top w:w="100" w:type="dxa"/>
              <w:left w:w="120" w:type="dxa"/>
              <w:bottom w:w="100" w:type="dxa"/>
              <w:right w:w="120" w:type="dxa"/>
            </w:tcMar>
          </w:tcPr>
          <w:p w14:paraId="6D5B0A3D" w14:textId="77777777" w:rsidR="00F02F8C" w:rsidRDefault="00304E91">
            <w:pPr>
              <w:jc w:val="both"/>
            </w:pPr>
            <w:r>
              <w:t>There was a clear, definite promise by Mr. Balfour to pay £30 a month; she had altered her position by remaining in England for her health instead of returning to Ceylon with him, and this reliance amounted to good consideration supporting an enforceable contract. At first instance, this argument succeeded before Sargant J.</w:t>
            </w:r>
          </w:p>
        </w:tc>
      </w:tr>
      <w:tr w:rsidR="00F02F8C" w14:paraId="4A3B6937" w14:textId="77777777">
        <w:tc>
          <w:tcPr>
            <w:tcW w:w="2500" w:type="pct"/>
            <w:tcMar>
              <w:top w:w="100" w:type="dxa"/>
              <w:left w:w="120" w:type="dxa"/>
              <w:bottom w:w="100" w:type="dxa"/>
              <w:right w:w="120" w:type="dxa"/>
            </w:tcMar>
          </w:tcPr>
          <w:p w14:paraId="425B068D" w14:textId="77777777" w:rsidR="00F02F8C" w:rsidRDefault="00304E91">
            <w:pPr>
              <w:jc w:val="both"/>
            </w:pPr>
            <w:r>
              <w:rPr>
                <w:b/>
                <w:bCs/>
              </w:rPr>
              <w:t>Mr. Balfour (Defendant/Appellant)</w:t>
            </w:r>
          </w:p>
        </w:tc>
        <w:tc>
          <w:tcPr>
            <w:tcW w:w="2500" w:type="pct"/>
            <w:tcMar>
              <w:top w:w="100" w:type="dxa"/>
              <w:left w:w="120" w:type="dxa"/>
              <w:bottom w:w="100" w:type="dxa"/>
              <w:right w:w="120" w:type="dxa"/>
            </w:tcMar>
          </w:tcPr>
          <w:p w14:paraId="3917343A" w14:textId="77777777" w:rsidR="00F02F8C" w:rsidRDefault="00304E91">
            <w:pPr>
              <w:jc w:val="both"/>
            </w:pPr>
            <w:r>
              <w:t>The £30 was a purely domestic arrangement between husband and wife, made informally and out of natural affection and moral duty while the marriage was intact and amicable. Neither party turned their mind to legal consequences, and no contract in the legal sense was ever intended to arise from an everyday spousal promise of support.</w:t>
            </w:r>
          </w:p>
        </w:tc>
      </w:tr>
      <w:tr w:rsidR="001515F2" w14:paraId="06EB152E" w14:textId="77777777">
        <w:trPr>
          <w:tblHeader/>
        </w:trPr>
        <w:tc>
          <w:tcPr>
            <w:tcW w:w="2500" w:type="pct"/>
            <w:shd w:val="clear" w:color="auto" w:fill="D9D9D9"/>
            <w:tcMar>
              <w:top w:w="100" w:type="dxa"/>
              <w:left w:w="120" w:type="dxa"/>
              <w:bottom w:w="100" w:type="dxa"/>
              <w:right w:w="120" w:type="dxa"/>
            </w:tcMar>
            <w:vAlign w:val="center"/>
          </w:tcPr>
          <w:p w14:paraId="21825F4E" w14:textId="77777777" w:rsidR="001515F2" w:rsidRDefault="005C104D">
            <w:r>
              <w:rPr>
                <w:b/>
                <w:bCs/>
              </w:rPr>
              <w:t>Party</w:t>
            </w:r>
          </w:p>
        </w:tc>
        <w:tc>
          <w:tcPr>
            <w:tcW w:w="2500" w:type="pct"/>
            <w:shd w:val="clear" w:color="auto" w:fill="D9D9D9"/>
            <w:tcMar>
              <w:top w:w="100" w:type="dxa"/>
              <w:left w:w="120" w:type="dxa"/>
              <w:bottom w:w="100" w:type="dxa"/>
              <w:right w:w="120" w:type="dxa"/>
            </w:tcMar>
            <w:vAlign w:val="center"/>
          </w:tcPr>
          <w:p w14:paraId="218F0622" w14:textId="77777777" w:rsidR="001515F2" w:rsidRDefault="005C104D">
            <w:r>
              <w:rPr>
                <w:b/>
                <w:bCs/>
              </w:rPr>
              <w:t>Argument</w:t>
            </w:r>
          </w:p>
        </w:tc>
      </w:tr>
      <w:tr w:rsidR="001515F2" w14:paraId="197C16C1" w14:textId="77777777">
        <w:tc>
          <w:tcPr>
            <w:tcW w:w="2500" w:type="pct"/>
            <w:tcMar>
              <w:top w:w="100" w:type="dxa"/>
              <w:left w:w="120" w:type="dxa"/>
              <w:bottom w:w="100" w:type="dxa"/>
              <w:right w:w="120" w:type="dxa"/>
            </w:tcMar>
          </w:tcPr>
          <w:p w14:paraId="03983C7D" w14:textId="77777777" w:rsidR="001515F2" w:rsidRDefault="005C104D">
            <w:pPr>
              <w:jc w:val="both"/>
            </w:pPr>
            <w:r>
              <w:rPr>
                <w:b/>
                <w:bCs/>
              </w:rPr>
              <w:lastRenderedPageBreak/>
              <w:t>Hadley (Claimant)</w:t>
            </w:r>
          </w:p>
        </w:tc>
        <w:tc>
          <w:tcPr>
            <w:tcW w:w="2500" w:type="pct"/>
            <w:tcMar>
              <w:top w:w="100" w:type="dxa"/>
              <w:left w:w="120" w:type="dxa"/>
              <w:bottom w:w="100" w:type="dxa"/>
              <w:right w:w="120" w:type="dxa"/>
            </w:tcMar>
          </w:tcPr>
          <w:p w14:paraId="0255326C" w14:textId="77777777" w:rsidR="001515F2" w:rsidRDefault="005C104D">
            <w:pPr>
              <w:jc w:val="both"/>
            </w:pPr>
            <w:r>
              <w:t>Pickford &amp; Company was engaged, for a fee, to carry the broken crankshaft to the manufacturer as quickly as possible, and expressly promised next-day delivery; the carrier's negligent delay directly caused the mill to remain idle for five extra days, and the lost profits during that period were the natural and direct consequence of the breach, for which the carrier should be liable in full.</w:t>
            </w:r>
          </w:p>
        </w:tc>
      </w:tr>
      <w:tr w:rsidR="001515F2" w14:paraId="7EEE1E9E" w14:textId="77777777">
        <w:tc>
          <w:tcPr>
            <w:tcW w:w="2500" w:type="pct"/>
            <w:tcMar>
              <w:top w:w="100" w:type="dxa"/>
              <w:left w:w="120" w:type="dxa"/>
              <w:bottom w:w="100" w:type="dxa"/>
              <w:right w:w="120" w:type="dxa"/>
            </w:tcMar>
          </w:tcPr>
          <w:p w14:paraId="4881A276" w14:textId="77777777" w:rsidR="001515F2" w:rsidRDefault="005C104D">
            <w:pPr>
              <w:jc w:val="both"/>
            </w:pPr>
            <w:r>
              <w:rPr>
                <w:b/>
                <w:bCs/>
              </w:rPr>
              <w:t>Baxendale (Defendant/Appellant)</w:t>
            </w:r>
          </w:p>
        </w:tc>
        <w:tc>
          <w:tcPr>
            <w:tcW w:w="2500" w:type="pct"/>
            <w:tcMar>
              <w:top w:w="100" w:type="dxa"/>
              <w:left w:w="120" w:type="dxa"/>
              <w:bottom w:w="100" w:type="dxa"/>
              <w:right w:w="120" w:type="dxa"/>
            </w:tcMar>
          </w:tcPr>
          <w:p w14:paraId="30426A20" w14:textId="77777777" w:rsidR="001515F2" w:rsidRDefault="005C104D">
            <w:pPr>
              <w:jc w:val="both"/>
            </w:pPr>
            <w:r>
              <w:t>The carrier was never told that the mill possessed no spare shaft and would be forced to shut down entirely pending delivery; a request for fast shipping is an ordinary commercial instruction that does not, by itself, put a carrier on notice of catastrophic loss of profits, and it was equally plausible that the mill had a spare part or was sending the shaft for unrelated repair — lost profits of this kind were too remote to have been within the reasonable contemplation of the parties when the contract was made.</w:t>
            </w:r>
          </w:p>
        </w:tc>
      </w:tr>
    </w:tbl>
    <w:p w14:paraId="1019A12A" w14:textId="77777777" w:rsidR="00E22DAB" w:rsidRDefault="00E22DAB">
      <w:pPr>
        <w:pStyle w:val="Heading1"/>
        <w:spacing w:before="320" w:after="160"/>
        <w:rPr>
          <w:b/>
          <w:bCs/>
          <w:color w:val="000000"/>
          <w:sz w:val="28"/>
          <w:szCs w:val="28"/>
        </w:rPr>
      </w:pPr>
    </w:p>
    <w:p w14:paraId="64403C25" w14:textId="77777777" w:rsidR="001515F2" w:rsidRDefault="005C104D">
      <w:pPr>
        <w:pStyle w:val="Heading1"/>
        <w:spacing w:before="320" w:after="160"/>
      </w:pPr>
      <w:r>
        <w:rPr>
          <w:b/>
          <w:bCs/>
          <w:color w:val="000000"/>
          <w:sz w:val="28"/>
          <w:szCs w:val="28"/>
        </w:rPr>
        <w:t>4. Judgment</w:t>
      </w:r>
    </w:p>
    <w:p w14:paraId="0F503721" w14:textId="77777777" w:rsidR="001515F2" w:rsidRDefault="005C104D">
      <w:pPr>
        <w:pStyle w:val="Heading2"/>
        <w:spacing w:before="220" w:after="120"/>
      </w:pPr>
      <w:r>
        <w:rPr>
          <w:b/>
          <w:bCs/>
          <w:color w:val="000000"/>
          <w:sz w:val="24"/>
          <w:szCs w:val="24"/>
        </w:rPr>
        <w:t>4.1 Court's Decision</w:t>
      </w:r>
    </w:p>
    <w:p w14:paraId="135F9EBE" w14:textId="77777777" w:rsidR="00F02F8C" w:rsidRDefault="00304E91">
      <w:pPr>
        <w:spacing w:after="160" w:line="300" w:lineRule="auto"/>
        <w:jc w:val="both"/>
      </w:pPr>
      <w:r>
        <w:t>The Court of Appeal unanimously allowed Mr. Balfour's appeal, reversing the decision of Sargant J. Judgment was entered for Mr. Balfour, and Mrs. Balfour's claim to enforce the promised £30 per month as a contractual debt was dismissed. Warrington LJ, Duke LJ, and Atkin LJ each delivered concurring judgments, with Atkin LJ's reasoning becoming the most celebrated and most frequently cited statement of principle in this area of law.</w:t>
      </w:r>
    </w:p>
    <w:p w14:paraId="56E0224F" w14:textId="77777777" w:rsidR="001515F2" w:rsidRDefault="005C104D">
      <w:pPr>
        <w:spacing w:after="160" w:line="300" w:lineRule="auto"/>
        <w:jc w:val="both"/>
      </w:pPr>
      <w:r>
        <w:t>The Court of Exchequer ruled in favour of Baxendale, holding that the jury had been misdirected as to the proper measure of damages. The court ordered a new trial, with instructions that the jury should not award damages for the mill's lost profits, since that loss was not one that could reasonably be considered to have been within the contemplation of both parties at the time the contract of carriage was made.</w:t>
      </w:r>
    </w:p>
    <w:p w14:paraId="7C804B75" w14:textId="77777777" w:rsidR="00BA4F5C" w:rsidRDefault="00BA4F5C">
      <w:pPr>
        <w:spacing w:after="160" w:line="300" w:lineRule="auto"/>
        <w:jc w:val="both"/>
      </w:pPr>
    </w:p>
    <w:p w14:paraId="5659A9E0" w14:textId="77777777" w:rsidR="001515F2" w:rsidRDefault="005C104D">
      <w:pPr>
        <w:pStyle w:val="Heading2"/>
        <w:spacing w:before="220" w:after="120"/>
      </w:pPr>
      <w:r>
        <w:rPr>
          <w:b/>
          <w:bCs/>
          <w:color w:val="000000"/>
          <w:sz w:val="24"/>
          <w:szCs w:val="24"/>
        </w:rPr>
        <w:lastRenderedPageBreak/>
        <w:t>4.2 Ratio Decidendi (Judicial Reasoning)</w:t>
      </w:r>
    </w:p>
    <w:p w14:paraId="2A6AE083" w14:textId="77777777" w:rsidR="001515F2" w:rsidRDefault="005C104D">
      <w:pPr>
        <w:spacing w:after="160" w:line="300" w:lineRule="auto"/>
        <w:jc w:val="both"/>
      </w:pPr>
      <w:r>
        <w:t>Delivering the judgment of the court, Alderson B laid down a two-limbed test for the recoverability of damages for breach of contract, and applied it to explain why Baxendale was not liable for the mill's lost profits:</w:t>
      </w:r>
    </w:p>
    <w:p w14:paraId="6133D821" w14:textId="77777777" w:rsidR="001515F2" w:rsidRDefault="005C104D">
      <w:pPr>
        <w:pStyle w:val="ListParagraph"/>
        <w:numPr>
          <w:ilvl w:val="0"/>
          <w:numId w:val="2"/>
        </w:numPr>
        <w:spacing w:after="100" w:line="290" w:lineRule="auto"/>
        <w:jc w:val="both"/>
      </w:pPr>
      <w:r>
        <w:t>The general rule (the two limbs): Damages recoverable for breach of contract are either such as may fairly and reasonably be considered as arising naturally, according to the usual course of things, from the breach itself (the first limb); or such as may reasonably be supposed to have been in the contemplation of both parties, at the time they made the contract, as the probable result of its breach, because of special circumstances actually communicated by the claimant to the defendant (the second limb).</w:t>
      </w:r>
    </w:p>
    <w:p w14:paraId="1CF76253" w14:textId="77777777" w:rsidR="001515F2" w:rsidRDefault="005C104D">
      <w:pPr>
        <w:pStyle w:val="ListParagraph"/>
        <w:numPr>
          <w:ilvl w:val="0"/>
          <w:numId w:val="2"/>
        </w:numPr>
        <w:spacing w:after="100" w:line="290" w:lineRule="auto"/>
        <w:jc w:val="both"/>
      </w:pPr>
      <w:r>
        <w:t>No notice of special circumstances: Although Hadley had asked for the shaft to be delivered urgently, he had not told Pickford's clerk that the mill possessed no spare shaft and would be forced to remain completely closed until the replacement was built and returned.</w:t>
      </w:r>
    </w:p>
    <w:p w14:paraId="5983D90D" w14:textId="77777777" w:rsidR="001515F2" w:rsidRDefault="005C104D">
      <w:pPr>
        <w:pStyle w:val="ListParagraph"/>
        <w:numPr>
          <w:ilvl w:val="0"/>
          <w:numId w:val="2"/>
        </w:numPr>
        <w:spacing w:after="100" w:line="290" w:lineRule="auto"/>
        <w:jc w:val="both"/>
      </w:pPr>
      <w:r>
        <w:t>A request for speed is not notice of catastrophic loss: The court held that simply requesting fast delivery was an ordinary commercial instruction, unremarkable in itself, and could not by itself alert a carrier to the risk of a total shutdown of the customer's business and consequent loss of profits.</w:t>
      </w:r>
    </w:p>
    <w:p w14:paraId="322AABD4" w14:textId="77777777" w:rsidR="001515F2" w:rsidRDefault="005C104D">
      <w:pPr>
        <w:pStyle w:val="ListParagraph"/>
        <w:numPr>
          <w:ilvl w:val="0"/>
          <w:numId w:val="2"/>
        </w:numPr>
        <w:spacing w:after="100" w:line="290" w:lineRule="auto"/>
        <w:jc w:val="both"/>
      </w:pPr>
      <w:r>
        <w:t>Reasonable alternative explanations existed: The court observed that a carrier in Pickford's position could just as reasonably have assumed that the mill had a spare shaft in reserve, or was sending the broken shaft away for some other purpose unrelated to a complete stoppage of the mill's operations.</w:t>
      </w:r>
    </w:p>
    <w:p w14:paraId="2A0EB145" w14:textId="77777777" w:rsidR="001515F2" w:rsidRDefault="005C104D">
      <w:pPr>
        <w:pStyle w:val="ListParagraph"/>
        <w:numPr>
          <w:ilvl w:val="0"/>
          <w:numId w:val="2"/>
        </w:numPr>
        <w:spacing w:after="100" w:line="290" w:lineRule="auto"/>
        <w:jc w:val="both"/>
      </w:pPr>
      <w:r>
        <w:t>Loss of profits did not arise naturally from the breach: Because the loss of profits depended on the unusual and uncommunicated fact that the mill had no spare part, it did not arise naturally, in the ordinary course of things, from a mere delay in carriage, and therefore fell outside the first limb of the rule.</w:t>
      </w:r>
    </w:p>
    <w:p w14:paraId="10B361F6" w14:textId="77777777" w:rsidR="00E22DAB" w:rsidRDefault="00E22DAB" w:rsidP="00E22DAB">
      <w:pPr>
        <w:rPr>
          <w:b/>
          <w:bCs/>
          <w:color w:val="000000"/>
          <w:sz w:val="28"/>
          <w:szCs w:val="28"/>
        </w:rPr>
      </w:pPr>
    </w:p>
    <w:p w14:paraId="4CC1CF31" w14:textId="77777777" w:rsidR="00E22DAB" w:rsidRDefault="00E22DAB" w:rsidP="00E22DAB">
      <w:pPr>
        <w:rPr>
          <w:b/>
          <w:bCs/>
          <w:color w:val="000000"/>
          <w:sz w:val="28"/>
          <w:szCs w:val="28"/>
        </w:rPr>
      </w:pPr>
    </w:p>
    <w:p w14:paraId="48D6E1D2" w14:textId="77777777" w:rsidR="00F02F8C" w:rsidRDefault="00304E91">
      <w:pPr>
        <w:spacing w:after="160" w:line="300" w:lineRule="auto"/>
        <w:jc w:val="both"/>
      </w:pPr>
      <w:r>
        <w:t>Although each judge expressed his reasoning in his own terms, three connected threads run through the judgments and together form the ratio decidendi of the case:</w:t>
      </w:r>
    </w:p>
    <w:p w14:paraId="76A22142" w14:textId="77777777" w:rsidR="00F02F8C" w:rsidRDefault="00304E91">
      <w:pPr>
        <w:pStyle w:val="ListParagraph"/>
        <w:numPr>
          <w:ilvl w:val="0"/>
          <w:numId w:val="4"/>
        </w:numPr>
        <w:spacing w:after="100" w:line="290" w:lineRule="auto"/>
        <w:jc w:val="both"/>
      </w:pPr>
      <w:r>
        <w:t>Domestic and social agreements are presumed not to have legal intent. Atkin LJ observed that agreements made between husband and wife in the ordinary course of married life are, as a class, agreements that the parties never intended to be enforceable in a court of law; treating every such arrangement as a legal contract would flood the courts with unsuitable domestic disputes.</w:t>
      </w:r>
    </w:p>
    <w:p w14:paraId="44E2D75D" w14:textId="77777777" w:rsidR="00F02F8C" w:rsidRDefault="00304E91">
      <w:pPr>
        <w:pStyle w:val="ListParagraph"/>
        <w:numPr>
          <w:ilvl w:val="0"/>
          <w:numId w:val="4"/>
        </w:numPr>
        <w:spacing w:after="100" w:line="290" w:lineRule="auto"/>
        <w:jc w:val="both"/>
      </w:pPr>
      <w:r>
        <w:lastRenderedPageBreak/>
        <w:t>The promise was made out of natural love and affection, not legal obligation. The court held that Mr. Balfour's promise to pay £30 a month was a product of the mutual trust and moral responsibility that exist between spouses living amicably together, rather than a deliberate assumption of legal liability.</w:t>
      </w:r>
    </w:p>
    <w:p w14:paraId="4D6CE453" w14:textId="77777777" w:rsidR="00F02F8C" w:rsidRDefault="00304E91">
      <w:pPr>
        <w:pStyle w:val="ListParagraph"/>
        <w:numPr>
          <w:ilvl w:val="0"/>
          <w:numId w:val="4"/>
        </w:numPr>
        <w:spacing w:after="100" w:line="290" w:lineRule="auto"/>
        <w:jc w:val="both"/>
      </w:pPr>
      <w:r>
        <w:t>Consideration alone cannot substitute for the missing intention to create legal relations. The court accepted that four elements are required for a contract: offer, acceptance, consideration, and an intention to create legal relations. Even if Mrs. Balfour's position in remaining in England could be viewed as consideration, that alone could not supply the missing element of intention.</w:t>
      </w:r>
    </w:p>
    <w:p w14:paraId="4E9971EA" w14:textId="77777777" w:rsidR="001515F2" w:rsidRDefault="005C104D" w:rsidP="00E22DAB">
      <w:pPr>
        <w:rPr>
          <w:b/>
          <w:bCs/>
          <w:color w:val="000000"/>
          <w:sz w:val="28"/>
          <w:szCs w:val="28"/>
        </w:rPr>
      </w:pPr>
      <w:r>
        <w:rPr>
          <w:b/>
          <w:bCs/>
          <w:color w:val="000000"/>
          <w:sz w:val="28"/>
          <w:szCs w:val="28"/>
        </w:rPr>
        <w:t>5. Legal Principle: Contract Formation Analysis</w:t>
      </w:r>
    </w:p>
    <w:p w14:paraId="6FB3F7D8" w14:textId="77777777" w:rsidR="00F02F8C" w:rsidRDefault="00304E91">
      <w:pPr>
        <w:spacing w:after="160" w:line="300" w:lineRule="auto"/>
        <w:jc w:val="both"/>
      </w:pPr>
      <w:r>
        <w:t>This section breaks down the key legal principle established in Balfour by applying the specific mechanics of offer, acceptance, and the ancillary pillars of contract formation.</w:t>
      </w:r>
    </w:p>
    <w:p w14:paraId="432CA478" w14:textId="77777777" w:rsidR="00E22DAB" w:rsidRDefault="00E22DAB" w:rsidP="00E22DAB"/>
    <w:p w14:paraId="22AE68B0" w14:textId="77777777" w:rsidR="001515F2" w:rsidRDefault="005C104D">
      <w:pPr>
        <w:spacing w:after="160" w:line="300" w:lineRule="auto"/>
        <w:jc w:val="both"/>
      </w:pPr>
      <w:r>
        <w:t>This section breaks down the key legal principle established in Hadley v Baxendale by applying the mechanics of offer, acceptance, and the ancillary pillars of contract formation to the carriage agreement between Hadley and Pickford.</w:t>
      </w:r>
    </w:p>
    <w:p w14:paraId="66381180" w14:textId="77777777" w:rsidR="001515F2" w:rsidRDefault="005C104D">
      <w:pPr>
        <w:pStyle w:val="Heading2"/>
        <w:spacing w:before="220" w:after="120"/>
      </w:pPr>
      <w:r>
        <w:rPr>
          <w:b/>
          <w:bCs/>
          <w:color w:val="000000"/>
          <w:sz w:val="24"/>
          <w:szCs w:val="24"/>
        </w:rPr>
        <w:t>5.1 Evaluation of a Valid Offer</w:t>
      </w:r>
    </w:p>
    <w:p w14:paraId="10045B68" w14:textId="77777777" w:rsidR="00F02F8C" w:rsidRDefault="00304E91">
      <w:pPr>
        <w:spacing w:after="160" w:line="300" w:lineRule="auto"/>
        <w:jc w:val="both"/>
      </w:pPr>
      <w:r>
        <w:t>A foundational question in any contract dispute is whether the communication in issue was a binding offer, or merely a domestic assurance never meant to be taken as a legal proposal.</w:t>
      </w:r>
    </w:p>
    <w:p w14:paraId="12335A95" w14:textId="77777777" w:rsidR="00F02F8C" w:rsidRDefault="00304E91">
      <w:pPr>
        <w:pStyle w:val="ListParagraph"/>
        <w:numPr>
          <w:ilvl w:val="0"/>
          <w:numId w:val="4"/>
        </w:numPr>
        <w:spacing w:after="100" w:line="290" w:lineRule="auto"/>
        <w:jc w:val="both"/>
      </w:pPr>
      <w:r>
        <w:t>Mr. Balfour's statement that he would pay £30 a month had the surface appearance of a promise with definite terms — a fixed sum, payable monthly, for the duration of the couple's separation.</w:t>
      </w:r>
    </w:p>
    <w:p w14:paraId="5726C9A3" w14:textId="77777777" w:rsidR="00F02F8C" w:rsidRDefault="00304E91">
      <w:pPr>
        <w:pStyle w:val="ListParagraph"/>
        <w:numPr>
          <w:ilvl w:val="0"/>
          <w:numId w:val="4"/>
        </w:numPr>
        <w:spacing w:after="100" w:line="290" w:lineRule="auto"/>
        <w:jc w:val="both"/>
      </w:pPr>
      <w:r>
        <w:t>However, the Court of Appeal treated it not as a genuine offer capable of ripening into a contract, but as an expression of spousal support and reassurance, comparable to countless informal promises exchanged within a functioning marriage — allowances, gifts, and undertakings of day-to-day care — none of which are ordinarily understood by the parties as legal proposals open to binding acceptance.</w:t>
      </w:r>
    </w:p>
    <w:p w14:paraId="0612654F" w14:textId="77777777" w:rsidR="00F02F8C" w:rsidRDefault="00304E91">
      <w:pPr>
        <w:pStyle w:val="ListParagraph"/>
        <w:numPr>
          <w:ilvl w:val="0"/>
          <w:numId w:val="4"/>
        </w:numPr>
        <w:spacing w:after="100" w:line="290" w:lineRule="auto"/>
        <w:jc w:val="both"/>
      </w:pPr>
      <w:r>
        <w:t>This distinguishes the promise from a genuine offer of the kind seen in commercial cases, where definite promissory language addressed with a serious intention to be bound is treated as a binding offer (compare Carlill v Carbolic Smoke Ball Co); here, definiteness of terms alone was not enough, because the domestic setting displaced the ordinary inference of a serious legal proposal.</w:t>
      </w:r>
    </w:p>
    <w:p w14:paraId="6CEEBBD8" w14:textId="77777777" w:rsidR="00BA4F5C" w:rsidRDefault="00BA4F5C" w:rsidP="00BA4F5C">
      <w:pPr>
        <w:spacing w:after="100" w:line="290" w:lineRule="auto"/>
        <w:jc w:val="both"/>
      </w:pPr>
    </w:p>
    <w:p w14:paraId="00A80EF7" w14:textId="77777777" w:rsidR="00BA4F5C" w:rsidRDefault="00BA4F5C" w:rsidP="00BA4F5C">
      <w:pPr>
        <w:spacing w:after="100" w:line="290" w:lineRule="auto"/>
        <w:jc w:val="both"/>
      </w:pPr>
    </w:p>
    <w:p w14:paraId="5AAD251E" w14:textId="77777777" w:rsidR="001515F2" w:rsidRDefault="005C104D">
      <w:pPr>
        <w:spacing w:after="160" w:line="300" w:lineRule="auto"/>
        <w:jc w:val="both"/>
      </w:pPr>
      <w:r>
        <w:lastRenderedPageBreak/>
        <w:t>Unlike many landmark contract cases, formation of the underlying contract of carriage was never seriously disputed; the analytical focus of the case falls almost entirely on the consequences of breach rather than on the existence of the bargain itself. Even so, the formation elements repay brief examination.</w:t>
      </w:r>
    </w:p>
    <w:p w14:paraId="3F75E0BE" w14:textId="77777777" w:rsidR="001515F2" w:rsidRDefault="005C104D">
      <w:pPr>
        <w:pStyle w:val="ListParagraph"/>
        <w:numPr>
          <w:ilvl w:val="0"/>
          <w:numId w:val="2"/>
        </w:numPr>
        <w:spacing w:after="100" w:line="290" w:lineRule="auto"/>
        <w:jc w:val="both"/>
      </w:pPr>
      <w:r>
        <w:t>Hadley's request to Pickford &amp; Company to carry the crankshaft, on payment of a fee and with a request for expedited delivery, constituted a clear and specific offer to contract for carriage services on defined terms.</w:t>
      </w:r>
    </w:p>
    <w:p w14:paraId="283BA1A1" w14:textId="77777777" w:rsidR="001515F2" w:rsidRDefault="005C104D">
      <w:pPr>
        <w:pStyle w:val="ListParagraph"/>
        <w:numPr>
          <w:ilvl w:val="0"/>
          <w:numId w:val="2"/>
        </w:numPr>
        <w:spacing w:after="100" w:line="290" w:lineRule="auto"/>
        <w:jc w:val="both"/>
      </w:pPr>
      <w:r>
        <w:t>This was not a mere invitation to treat or preliminary inquiry: the request identified the goods, the destination, the urgency required, and the price to be paid, all hallmarks of a definite offer capable of binding acceptance.</w:t>
      </w:r>
    </w:p>
    <w:p w14:paraId="12B477B4" w14:textId="77777777" w:rsidR="001515F2" w:rsidRDefault="005C104D">
      <w:pPr>
        <w:pStyle w:val="ListParagraph"/>
        <w:numPr>
          <w:ilvl w:val="0"/>
          <w:numId w:val="2"/>
        </w:numPr>
        <w:spacing w:after="100" w:line="290" w:lineRule="auto"/>
        <w:jc w:val="both"/>
      </w:pPr>
      <w:r>
        <w:t>The commercial, arm's-length setting of the transaction — a paying customer engaging a professional carrier for a defined service — left no room for the kind of domestic ambiguity seen in cases such as Balfour v Balfour; here, both parties plainly intended a legally binding commercial arrangement from the outset.</w:t>
      </w:r>
    </w:p>
    <w:p w14:paraId="0AC53B2E" w14:textId="77777777" w:rsidR="001515F2" w:rsidRDefault="005C104D">
      <w:pPr>
        <w:pStyle w:val="Heading2"/>
        <w:spacing w:before="220" w:after="120"/>
      </w:pPr>
      <w:r>
        <w:rPr>
          <w:b/>
          <w:bCs/>
          <w:color w:val="000000"/>
          <w:sz w:val="24"/>
          <w:szCs w:val="24"/>
        </w:rPr>
        <w:t>5.2 Mechanics of Acceptance</w:t>
      </w:r>
    </w:p>
    <w:p w14:paraId="4B7BFF05" w14:textId="77777777" w:rsidR="00F02F8C" w:rsidRDefault="00304E91">
      <w:pPr>
        <w:spacing w:after="160" w:line="300" w:lineRule="auto"/>
        <w:jc w:val="both"/>
      </w:pPr>
      <w:r>
        <w:t>Ordinary contract doctrine asks how and when acceptance of an offer is communicated, and whether that acceptance mirrors the terms proposed.</w:t>
      </w:r>
    </w:p>
    <w:p w14:paraId="6EF33C34" w14:textId="77777777" w:rsidR="00F02F8C" w:rsidRDefault="00304E91">
      <w:pPr>
        <w:pStyle w:val="ListParagraph"/>
        <w:numPr>
          <w:ilvl w:val="0"/>
          <w:numId w:val="4"/>
        </w:numPr>
        <w:spacing w:after="100" w:line="290" w:lineRule="auto"/>
        <w:jc w:val="both"/>
      </w:pPr>
      <w:r>
        <w:t>Mrs. Balfour's conduct — remaining in England as agreed and, on the trial judge's view, altering her position in reliance on the promise — could be characterised as conduct amounting to acceptance of the arrangement, in the same way performance operates as acceptance in a unilateral contract.</w:t>
      </w:r>
    </w:p>
    <w:p w14:paraId="04598B7C" w14:textId="77777777" w:rsidR="00F02F8C" w:rsidRDefault="00304E91">
      <w:pPr>
        <w:pStyle w:val="ListParagraph"/>
        <w:numPr>
          <w:ilvl w:val="0"/>
          <w:numId w:val="4"/>
        </w:numPr>
        <w:spacing w:after="100" w:line="290" w:lineRule="auto"/>
        <w:jc w:val="both"/>
      </w:pPr>
      <w:r>
        <w:t>The Court of Appeal did not need to resolve any technical dispute about the mode or timing of acceptance (there was no issue of postal rule or instantaneous communication here, since the parties dealt with each other directly); instead, the court's analysis went further upstream, holding that the absence of an intention to create legal relations meant the question of acceptance never became legally material.</w:t>
      </w:r>
    </w:p>
    <w:p w14:paraId="7A48B96F" w14:textId="77777777" w:rsidR="00F02F8C" w:rsidRDefault="00304E91">
      <w:pPr>
        <w:pStyle w:val="ListParagraph"/>
        <w:numPr>
          <w:ilvl w:val="0"/>
          <w:numId w:val="4"/>
        </w:numPr>
        <w:spacing w:after="100" w:line="290" w:lineRule="auto"/>
        <w:jc w:val="both"/>
      </w:pPr>
      <w:r>
        <w:t>This illustrates an important structural point: acceptance and consideration can both appear to be present on the facts, and a case can still fail for want of a contract if the deeper requirement of intention is absent.</w:t>
      </w:r>
    </w:p>
    <w:p w14:paraId="6375147F" w14:textId="77777777" w:rsidR="00BA4F5C" w:rsidRDefault="00BA4F5C" w:rsidP="00BA4F5C">
      <w:pPr>
        <w:pStyle w:val="ListParagraph"/>
        <w:spacing w:after="100" w:line="290" w:lineRule="auto"/>
        <w:ind w:left="540"/>
        <w:jc w:val="both"/>
      </w:pPr>
    </w:p>
    <w:p w14:paraId="52FEC9AA" w14:textId="77777777" w:rsidR="00F02F8C" w:rsidRDefault="00304E91">
      <w:pPr>
        <w:pStyle w:val="Heading2"/>
        <w:spacing w:before="220" w:after="120"/>
      </w:pPr>
      <w:r>
        <w:rPr>
          <w:b/>
          <w:bCs/>
          <w:color w:val="000000"/>
          <w:sz w:val="24"/>
          <w:szCs w:val="24"/>
        </w:rPr>
        <w:t>5.3 Ancillary Pillars of Formation</w:t>
      </w:r>
    </w:p>
    <w:p w14:paraId="138B5FCB" w14:textId="77777777" w:rsidR="00F02F8C" w:rsidRDefault="00304E91">
      <w:pPr>
        <w:spacing w:after="160" w:line="300" w:lineRule="auto"/>
        <w:jc w:val="both"/>
      </w:pPr>
      <w:r>
        <w:t>Beyond offer and acceptance, the court's treatment of the two remaining pillars of a binding agreement — consideration and intention to create legal relations — is central to the outcome.</w:t>
      </w:r>
    </w:p>
    <w:p w14:paraId="64E6AAD6" w14:textId="77777777" w:rsidR="00F02F8C" w:rsidRDefault="00304E91">
      <w:pPr>
        <w:pStyle w:val="ListParagraph"/>
        <w:numPr>
          <w:ilvl w:val="0"/>
          <w:numId w:val="4"/>
        </w:numPr>
        <w:spacing w:after="100" w:line="290" w:lineRule="auto"/>
        <w:jc w:val="both"/>
      </w:pPr>
      <w:r>
        <w:lastRenderedPageBreak/>
        <w:t>Consideration: The trial judge had accepted that Mrs. Balfour's assent to the arrangement, and her forbearance in remaining apart from her husband, amounted to consideration. The Court of Appeal did not need to overturn this finding directly; instead, it held that consideration, even if present, is not sufficient by itself to found a contract.</w:t>
      </w:r>
    </w:p>
    <w:p w14:paraId="0034C783" w14:textId="77777777" w:rsidR="00F02F8C" w:rsidRDefault="00304E91">
      <w:pPr>
        <w:pStyle w:val="ListParagraph"/>
        <w:numPr>
          <w:ilvl w:val="0"/>
          <w:numId w:val="4"/>
        </w:numPr>
        <w:spacing w:after="100" w:line="290" w:lineRule="auto"/>
        <w:jc w:val="both"/>
      </w:pPr>
      <w:r>
        <w:t>Intention to Create Legal Relations: This was the decisive, missing pillar. The court held that, in domestic and social arrangements between people living amicably together, there is a presumption that the parties do not intend their agreement to be legally binding. Nothing on the facts rebutted that presumption — the promise was made casually, without documentation, negotiation, or any indication that either party contemplated enforcement through the courts.</w:t>
      </w:r>
    </w:p>
    <w:p w14:paraId="03D6920F" w14:textId="77777777" w:rsidR="00F02F8C" w:rsidRDefault="00304E91">
      <w:pPr>
        <w:spacing w:after="160" w:line="300" w:lineRule="auto"/>
        <w:jc w:val="both"/>
      </w:pPr>
      <w:r>
        <w:t>The case therefore stands for the proposition that a valid, complete-looking bargain — offer, acceptance, and consideration all arguably present — can still fail to produce a binding contract if the parties lacked the necessary intention for their agreement to carry legal consequences.</w:t>
      </w:r>
    </w:p>
    <w:p w14:paraId="14AB5349" w14:textId="267321DF" w:rsidR="001515F2" w:rsidRDefault="005C104D" w:rsidP="00BA4F5C">
      <w:r>
        <w:t>Acceptance in Hadley v Baxendale was communicated promptly and unambiguously through the ordinary course of commercial dealing between customer and carrier.</w:t>
      </w:r>
    </w:p>
    <w:p w14:paraId="0BA6C142" w14:textId="77777777" w:rsidR="001515F2" w:rsidRDefault="005C104D">
      <w:pPr>
        <w:pStyle w:val="ListParagraph"/>
        <w:numPr>
          <w:ilvl w:val="0"/>
          <w:numId w:val="2"/>
        </w:numPr>
        <w:spacing w:after="100" w:line="290" w:lineRule="auto"/>
        <w:jc w:val="both"/>
      </w:pPr>
      <w:r>
        <w:t>Pickford's clerk accepted the offer by agreeing to carry the shaft and promising delivery by the following day, matching the terms of Hadley's request; this exchange reflects the mirror image rule, since the carrier's acceptance corresponded precisely to what had been asked for, including the promised timeframe.</w:t>
      </w:r>
    </w:p>
    <w:p w14:paraId="1750BB20" w14:textId="77777777" w:rsidR="001515F2" w:rsidRDefault="005C104D">
      <w:pPr>
        <w:pStyle w:val="ListParagraph"/>
        <w:numPr>
          <w:ilvl w:val="0"/>
          <w:numId w:val="2"/>
        </w:numPr>
        <w:spacing w:after="100" w:line="290" w:lineRule="auto"/>
        <w:jc w:val="both"/>
      </w:pPr>
      <w:r>
        <w:t>Because the parties dealt with each other directly and instantaneously at the point of engagement, no question arose as to postal rules or delayed communication of acceptance; the contract was concluded there and then, with performance (carriage of the shaft) to follow.</w:t>
      </w:r>
    </w:p>
    <w:p w14:paraId="0F276C4E" w14:textId="77777777" w:rsidR="001515F2" w:rsidRDefault="005C104D">
      <w:pPr>
        <w:pStyle w:val="ListParagraph"/>
        <w:numPr>
          <w:ilvl w:val="0"/>
          <w:numId w:val="2"/>
        </w:numPr>
        <w:spacing w:after="100" w:line="290" w:lineRule="auto"/>
        <w:jc w:val="both"/>
      </w:pPr>
      <w:r>
        <w:t>The real legal difficulty in the case begins only after this point: acceptance and formation were straightforward, but the scope of liability for failing to perform as promised required the court to develop an entirely separate body of principle — the rule on remoteness of damage.</w:t>
      </w:r>
    </w:p>
    <w:p w14:paraId="7672B038" w14:textId="77777777" w:rsidR="00E22DAB" w:rsidRDefault="00E22DAB">
      <w:pPr>
        <w:pStyle w:val="Heading2"/>
        <w:spacing w:before="220" w:after="120"/>
        <w:rPr>
          <w:b/>
          <w:bCs/>
          <w:color w:val="000000"/>
          <w:sz w:val="24"/>
          <w:szCs w:val="24"/>
        </w:rPr>
      </w:pPr>
    </w:p>
    <w:p w14:paraId="28DF43EA" w14:textId="77777777" w:rsidR="001515F2" w:rsidRDefault="005C104D">
      <w:pPr>
        <w:pStyle w:val="Heading2"/>
        <w:spacing w:before="220" w:after="120"/>
      </w:pPr>
      <w:r>
        <w:rPr>
          <w:b/>
          <w:bCs/>
          <w:color w:val="000000"/>
          <w:sz w:val="24"/>
          <w:szCs w:val="24"/>
        </w:rPr>
        <w:t>5.3 Ancillary Pillars of Formation</w:t>
      </w:r>
    </w:p>
    <w:p w14:paraId="183D2D52" w14:textId="77777777" w:rsidR="001515F2" w:rsidRDefault="005C104D">
      <w:pPr>
        <w:spacing w:after="160" w:line="300" w:lineRule="auto"/>
        <w:jc w:val="both"/>
      </w:pPr>
      <w:r>
        <w:t>The remaining pillars of a binding agreement — consideration and intention to create legal relations — were readily established on the facts, which is precisely what allowed the court to focus its judgment on the more difficult question of damages.</w:t>
      </w:r>
    </w:p>
    <w:p w14:paraId="7E0056F0" w14:textId="77777777" w:rsidR="001515F2" w:rsidRDefault="005C104D">
      <w:pPr>
        <w:pStyle w:val="ListParagraph"/>
        <w:numPr>
          <w:ilvl w:val="0"/>
          <w:numId w:val="2"/>
        </w:numPr>
        <w:spacing w:after="100" w:line="290" w:lineRule="auto"/>
        <w:jc w:val="both"/>
      </w:pPr>
      <w:r>
        <w:t>Consideration: Hadley's payment of carriage fees, including an additional amount for expedited delivery, supplied clear consideration flowing from him to the carrier; Pickford's promise of next-day delivery supplied consideration flowing the other way, in the classic form of a bargained-for exchange of promises.</w:t>
      </w:r>
    </w:p>
    <w:p w14:paraId="6E141F35" w14:textId="77777777" w:rsidR="001515F2" w:rsidRDefault="005C104D">
      <w:pPr>
        <w:pStyle w:val="ListParagraph"/>
        <w:numPr>
          <w:ilvl w:val="0"/>
          <w:numId w:val="2"/>
        </w:numPr>
        <w:spacing w:after="100" w:line="290" w:lineRule="auto"/>
        <w:jc w:val="both"/>
      </w:pPr>
      <w:r>
        <w:lastRenderedPageBreak/>
        <w:t>Intention to Create Legal Relations: As a straightforward commercial transaction between a paying customer and a professional carrier, the arrangement carried the ordinary presumption that legal relations were intended — the opposite presumption to that applied in domestic cases such as Balfour v Balfour — and neither party disputed that a binding contract of carriage existed.</w:t>
      </w:r>
    </w:p>
    <w:p w14:paraId="14FE355C" w14:textId="77777777" w:rsidR="001515F2" w:rsidRDefault="005C104D">
      <w:pPr>
        <w:spacing w:after="160" w:line="300" w:lineRule="auto"/>
        <w:jc w:val="both"/>
      </w:pPr>
      <w:r>
        <w:t>Because offer, acceptance, consideration, and intention were all uncontroversially present, the case is significant not for how the contract was formed, but for what happens once such a contract is broken — specifically, how far liability for the consequences of breach should extend. This is the true legacy of the decision: a workable, two-limbed test for identifying which losses a breaching party must compensate.</w:t>
      </w:r>
    </w:p>
    <w:p w14:paraId="01C47C0B" w14:textId="77777777" w:rsidR="001515F2" w:rsidRDefault="005C104D" w:rsidP="00E22DAB">
      <w:r>
        <w:rPr>
          <w:b/>
          <w:bCs/>
          <w:color w:val="000000"/>
          <w:sz w:val="28"/>
          <w:szCs w:val="28"/>
        </w:rPr>
        <w:t>6. Business Relevance</w:t>
      </w:r>
    </w:p>
    <w:p w14:paraId="69D76B3D" w14:textId="77777777" w:rsidR="001515F2" w:rsidRDefault="005C104D">
      <w:pPr>
        <w:pStyle w:val="Heading2"/>
        <w:spacing w:before="220" w:after="120"/>
      </w:pPr>
      <w:r>
        <w:rPr>
          <w:b/>
          <w:bCs/>
          <w:color w:val="000000"/>
          <w:sz w:val="24"/>
          <w:szCs w:val="24"/>
        </w:rPr>
        <w:t>6.1 Application in Modern Business</w:t>
      </w:r>
    </w:p>
    <w:p w14:paraId="2668D65C" w14:textId="77777777" w:rsidR="001515F2" w:rsidRDefault="005C104D">
      <w:pPr>
        <w:spacing w:after="160" w:line="300" w:lineRule="auto"/>
        <w:jc w:val="both"/>
      </w:pPr>
      <w:r>
        <w:t>Although decided in 1854 in the context of a broken mill shaft, Hadley v Baxendale continues to shape how modern courts and businesses assess liability for breach across nearly every sector of commerce:</w:t>
      </w:r>
    </w:p>
    <w:p w14:paraId="1EF45D97" w14:textId="77777777" w:rsidR="001515F2" w:rsidRDefault="005C104D">
      <w:pPr>
        <w:pStyle w:val="ListParagraph"/>
        <w:numPr>
          <w:ilvl w:val="0"/>
          <w:numId w:val="2"/>
        </w:numPr>
        <w:spacing w:after="100" w:line="290" w:lineRule="auto"/>
        <w:jc w:val="both"/>
      </w:pPr>
      <w:r>
        <w:t>Logistics and supply chain contracts: Carriers, freight forwarders, and logistics providers remain liable, under the Hadley rule, only for losses that arise naturally from delay or damage, or that were specifically flagged by the customer in advance — a principle that underpins standard-form carriage terms and liability caps used across the shipping and freight industry today.</w:t>
      </w:r>
    </w:p>
    <w:p w14:paraId="1FB73F5A" w14:textId="77777777" w:rsidR="001515F2" w:rsidRDefault="005C104D">
      <w:pPr>
        <w:pStyle w:val="ListParagraph"/>
        <w:numPr>
          <w:ilvl w:val="0"/>
          <w:numId w:val="2"/>
        </w:numPr>
        <w:spacing w:after="100" w:line="290" w:lineRule="auto"/>
        <w:jc w:val="both"/>
      </w:pPr>
      <w:r>
        <w:t>Technology and software contracts: Software vendors and IT service providers routinely rely on the foreseeability principle to argue that a client's extraordinary business losses from downtime or a failed deployment were not within the reasonable contemplation of the parties, unless the client had specifically disclosed its dependency on the system in advance.</w:t>
      </w:r>
    </w:p>
    <w:p w14:paraId="54061CD6" w14:textId="77777777" w:rsidR="001515F2" w:rsidRDefault="005C104D">
      <w:pPr>
        <w:pStyle w:val="ListParagraph"/>
        <w:numPr>
          <w:ilvl w:val="0"/>
          <w:numId w:val="2"/>
        </w:numPr>
        <w:spacing w:after="100" w:line="290" w:lineRule="auto"/>
        <w:jc w:val="both"/>
      </w:pPr>
      <w:r>
        <w:t>Financial services agreements: Where a delayed payment, failed transaction, or system error causes a counterparty's unusual financial loss, courts continue to apply the two-limbed Hadley test to decide whether such loss was a natural consequence of the breach or required special notice to be recoverable.</w:t>
      </w:r>
    </w:p>
    <w:p w14:paraId="098D1FFA" w14:textId="77777777" w:rsidR="001515F2" w:rsidRDefault="005C104D">
      <w:pPr>
        <w:pStyle w:val="ListParagraph"/>
        <w:numPr>
          <w:ilvl w:val="0"/>
          <w:numId w:val="2"/>
        </w:numPr>
        <w:spacing w:after="100" w:line="290" w:lineRule="auto"/>
        <w:jc w:val="both"/>
      </w:pPr>
      <w:r>
        <w:t>Standard-form contracting generally: The principle underpins why so many modern commercial contracts include express clauses addressing consequential loss, liability caps, and notice requirements — parties now routinely contract around the default Hadley position by allocating the risk of unusual losses explicitly.</w:t>
      </w:r>
    </w:p>
    <w:p w14:paraId="270A030D" w14:textId="77777777" w:rsidR="00BA4F5C" w:rsidRDefault="00BA4F5C" w:rsidP="00BA4F5C">
      <w:pPr>
        <w:spacing w:after="100" w:line="290" w:lineRule="auto"/>
        <w:jc w:val="both"/>
      </w:pPr>
    </w:p>
    <w:p w14:paraId="1B7E7725" w14:textId="77777777" w:rsidR="00BA4F5C" w:rsidRDefault="00BA4F5C" w:rsidP="00BA4F5C">
      <w:pPr>
        <w:spacing w:after="100" w:line="290" w:lineRule="auto"/>
        <w:jc w:val="both"/>
      </w:pPr>
    </w:p>
    <w:p w14:paraId="06107252" w14:textId="77777777" w:rsidR="001515F2" w:rsidRDefault="005C104D">
      <w:pPr>
        <w:pStyle w:val="Heading2"/>
        <w:spacing w:before="220" w:after="120"/>
      </w:pPr>
      <w:r>
        <w:rPr>
          <w:b/>
          <w:bCs/>
          <w:color w:val="000000"/>
          <w:sz w:val="24"/>
          <w:szCs w:val="24"/>
        </w:rPr>
        <w:lastRenderedPageBreak/>
        <w:t>6.2 Risk Management &amp; Operational Compliance</w:t>
      </w:r>
    </w:p>
    <w:p w14:paraId="3FFE659E" w14:textId="77777777" w:rsidR="001515F2" w:rsidRDefault="005C104D">
      <w:pPr>
        <w:spacing w:after="160" w:line="300" w:lineRule="auto"/>
        <w:jc w:val="both"/>
      </w:pPr>
      <w:r>
        <w:t>The judgment offers several enduring, practical lessons for businesses seeking to manage contractual risk and draft effective agreements:</w:t>
      </w:r>
    </w:p>
    <w:p w14:paraId="1D8D3039" w14:textId="77777777" w:rsidR="001515F2" w:rsidRDefault="005C104D">
      <w:pPr>
        <w:pStyle w:val="ListParagraph"/>
        <w:numPr>
          <w:ilvl w:val="0"/>
          <w:numId w:val="2"/>
        </w:numPr>
        <w:spacing w:after="100" w:line="290" w:lineRule="auto"/>
        <w:jc w:val="both"/>
      </w:pPr>
      <w:r>
        <w:t>Communicate special circumstances explicitly. A business that depends critically on timely performance — as Hadley's mill depended on the shaft — should communicate that dependency clearly and specifically to its counterparty at the time of contracting, since silence will ordinarily place extraordinary losses outside the scope of recoverable damages.</w:t>
      </w:r>
    </w:p>
    <w:p w14:paraId="4C7FBBAB" w14:textId="77777777" w:rsidR="001515F2" w:rsidRDefault="005C104D">
      <w:pPr>
        <w:pStyle w:val="ListParagraph"/>
        <w:numPr>
          <w:ilvl w:val="0"/>
          <w:numId w:val="2"/>
        </w:numPr>
        <w:spacing w:after="100" w:line="290" w:lineRule="auto"/>
        <w:jc w:val="both"/>
      </w:pPr>
      <w:r>
        <w:t>Do not assume urgency alone conveys risk. Simply requesting fast delivery or performance is not, on its own, sufficient notice of catastrophic loss; businesses should state the consequences of delay in concrete terms if they want a counterparty to bear that risk.</w:t>
      </w:r>
    </w:p>
    <w:p w14:paraId="5B4F7B77" w14:textId="77777777" w:rsidR="001515F2" w:rsidRDefault="005C104D">
      <w:pPr>
        <w:pStyle w:val="ListParagraph"/>
        <w:numPr>
          <w:ilvl w:val="0"/>
          <w:numId w:val="2"/>
        </w:numPr>
        <w:spacing w:after="100" w:line="290" w:lineRule="auto"/>
        <w:jc w:val="both"/>
      </w:pPr>
      <w:r>
        <w:t>Draft consequential loss clauses deliberately. Modern commercial contracts frequently define, exclude, or cap liability for indirect and consequential losses; understanding the Hadley default rule is essential to drafting these clauses effectively, whether a business wants to broaden or narrow the default position.</w:t>
      </w:r>
    </w:p>
    <w:p w14:paraId="13407719" w14:textId="77777777" w:rsidR="001515F2" w:rsidRDefault="005C104D">
      <w:pPr>
        <w:pStyle w:val="ListParagraph"/>
        <w:numPr>
          <w:ilvl w:val="0"/>
          <w:numId w:val="2"/>
        </w:numPr>
        <w:spacing w:after="100" w:line="290" w:lineRule="auto"/>
        <w:jc w:val="both"/>
      </w:pPr>
      <w:r>
        <w:t>Maintain contingency planning. Just as the court noted a carrier could reasonably assume a mill kept a spare shaft, businesses that fail to maintain reasonable contingency measures for critical equipment or systems may find that their own operational choices, not the breaching party's conduct, are what produced their extraordinary loss.</w:t>
      </w:r>
    </w:p>
    <w:p w14:paraId="2B25BF05" w14:textId="77777777" w:rsidR="001515F2" w:rsidRDefault="005C104D">
      <w:pPr>
        <w:pStyle w:val="ListParagraph"/>
        <w:numPr>
          <w:ilvl w:val="0"/>
          <w:numId w:val="2"/>
        </w:numPr>
        <w:spacing w:after="100" w:line="290" w:lineRule="auto"/>
        <w:jc w:val="both"/>
      </w:pPr>
      <w:r>
        <w:t>Treat foreseeability as a threshold compliance check. When negotiating or performing a contract, both parties benefit from assessing, at the outset, what categories of loss are foreseeable from a breach — a discipline that reduces disputes and clarifies the true allocation of commercial risk.</w:t>
      </w:r>
    </w:p>
    <w:p w14:paraId="621DDA7D" w14:textId="77777777" w:rsidR="00E22DAB" w:rsidRDefault="00E22DAB" w:rsidP="00E22DAB">
      <w:pPr>
        <w:rPr>
          <w:b/>
          <w:bCs/>
          <w:color w:val="000000"/>
          <w:sz w:val="28"/>
          <w:szCs w:val="28"/>
        </w:rPr>
      </w:pPr>
    </w:p>
    <w:p w14:paraId="0839FAAD" w14:textId="77777777" w:rsidR="00F02F8C" w:rsidRDefault="00304E91">
      <w:pPr>
        <w:spacing w:after="160" w:line="300" w:lineRule="auto"/>
        <w:jc w:val="both"/>
      </w:pPr>
      <w:r>
        <w:t>Although decided in 1919 in a domestic setting, Balfour continues to shape how modern courts and businesses assess whether informal promises are legally binding. Its core insight — that a promise, however definite, is not a contract unless the parties intended legal consequences — has direct application across several areas of modern commerce:</w:t>
      </w:r>
    </w:p>
    <w:p w14:paraId="33527E76" w14:textId="77777777" w:rsidR="00F02F8C" w:rsidRDefault="00304E91">
      <w:pPr>
        <w:pStyle w:val="ListParagraph"/>
        <w:numPr>
          <w:ilvl w:val="0"/>
          <w:numId w:val="4"/>
        </w:numPr>
        <w:spacing w:after="100" w:line="290" w:lineRule="auto"/>
        <w:jc w:val="both"/>
      </w:pPr>
      <w:r>
        <w:t>Family businesses and informal ventures: Promises exchanged between family members who also do business together (loans, profit-sharing assurances, informal partnership arrangements) are routinely tested against the Balfour presumption; courts examine whether the arrangement was negotiated at arm's length or made casually out of family goodwill.</w:t>
      </w:r>
    </w:p>
    <w:p w14:paraId="7ECA56DF" w14:textId="77777777" w:rsidR="00F02F8C" w:rsidRDefault="00304E91">
      <w:pPr>
        <w:pStyle w:val="ListParagraph"/>
        <w:numPr>
          <w:ilvl w:val="0"/>
          <w:numId w:val="4"/>
        </w:numPr>
        <w:spacing w:after="100" w:line="290" w:lineRule="auto"/>
        <w:jc w:val="both"/>
      </w:pPr>
      <w:r>
        <w:t xml:space="preserve">Workplace and HR assurances: Informal assurances made by employers in a social or pastoral context (for example, a manager's personal promise to help an employee outside any formal HR process) may be treated as lacking contractual intent, distinguishing them from </w:t>
      </w:r>
      <w:r>
        <w:lastRenderedPageBreak/>
        <w:t>binding commitments made through formal channels such as an offer letter or contract of employment.</w:t>
      </w:r>
    </w:p>
    <w:p w14:paraId="33739955" w14:textId="77777777" w:rsidR="00F02F8C" w:rsidRDefault="00304E91">
      <w:pPr>
        <w:pStyle w:val="ListParagraph"/>
        <w:numPr>
          <w:ilvl w:val="0"/>
          <w:numId w:val="4"/>
        </w:numPr>
        <w:spacing w:after="100" w:line="290" w:lineRule="auto"/>
        <w:jc w:val="both"/>
      </w:pPr>
      <w:r>
        <w:t>Letters of comfort and 'good faith' undertakings: In commercial finance, parent companies sometimes issue letters of comfort to reassure lenders about a subsidiary's obligations; courts apply reasoning closely related to Balfour to determine whether such letters were intended to be legally binding or merely moral assurances, depending on their wording and context.</w:t>
      </w:r>
    </w:p>
    <w:p w14:paraId="74CE1024" w14:textId="77777777" w:rsidR="00F02F8C" w:rsidRDefault="00304E91">
      <w:pPr>
        <w:pStyle w:val="ListParagraph"/>
        <w:numPr>
          <w:ilvl w:val="0"/>
          <w:numId w:val="4"/>
        </w:numPr>
        <w:spacing w:after="100" w:line="290" w:lineRule="auto"/>
        <w:jc w:val="both"/>
      </w:pPr>
      <w:r>
        <w:t>E-commerce and informal digital promises: Casual assurances made over chat, email, or social media, outside a platform's formal terms of service, are increasingly tested using the same intention-based analysis, distinguishing binding commercial offers from informal, non-contractual exchanges.</w:t>
      </w:r>
    </w:p>
    <w:p w14:paraId="204E331C" w14:textId="77777777" w:rsidR="00F02F8C" w:rsidRDefault="00304E91">
      <w:pPr>
        <w:pStyle w:val="Heading2"/>
        <w:spacing w:before="220" w:after="120"/>
      </w:pPr>
      <w:r>
        <w:rPr>
          <w:b/>
          <w:bCs/>
          <w:color w:val="000000"/>
          <w:sz w:val="24"/>
          <w:szCs w:val="24"/>
        </w:rPr>
        <w:t>6.2 Risk Management &amp; Operational Compliance</w:t>
      </w:r>
    </w:p>
    <w:p w14:paraId="730B80BA" w14:textId="77777777" w:rsidR="00F02F8C" w:rsidRDefault="00304E91">
      <w:pPr>
        <w:spacing w:after="160" w:line="300" w:lineRule="auto"/>
        <w:jc w:val="both"/>
      </w:pPr>
      <w:r>
        <w:t>The judgment offers several enduring, practical lessons for businesses and individuals structuring promises and informal arrangements:</w:t>
      </w:r>
    </w:p>
    <w:p w14:paraId="1B564B52" w14:textId="77777777" w:rsidR="00F02F8C" w:rsidRDefault="00304E91">
      <w:pPr>
        <w:pStyle w:val="ListParagraph"/>
        <w:numPr>
          <w:ilvl w:val="0"/>
          <w:numId w:val="4"/>
        </w:numPr>
        <w:spacing w:after="100" w:line="290" w:lineRule="auto"/>
        <w:jc w:val="both"/>
      </w:pPr>
      <w:r>
        <w:t>Document intention expressly. Where parties in a close personal or family relationship do intend an arrangement to be legally binding, they should record that intention clearly in writing, since silence on the point will ordinarily be resolved against enforceability.</w:t>
      </w:r>
    </w:p>
    <w:p w14:paraId="5894440E" w14:textId="77777777" w:rsidR="00F02F8C" w:rsidRDefault="00304E91">
      <w:pPr>
        <w:pStyle w:val="ListParagraph"/>
        <w:numPr>
          <w:ilvl w:val="0"/>
          <w:numId w:val="4"/>
        </w:numPr>
        <w:spacing w:after="100" w:line="290" w:lineRule="auto"/>
        <w:jc w:val="both"/>
      </w:pPr>
      <w:r>
        <w:t>Distinguish domestic goodwill from commercial commitment. Businesses dealing with family members, friends, or informal contacts should be explicit about whether a given promise is a binding commercial commitment or a personal courtesy, to avoid later disputes over enforceability.</w:t>
      </w:r>
    </w:p>
    <w:p w14:paraId="4B03C0ED" w14:textId="77777777" w:rsidR="00F02F8C" w:rsidRDefault="00304E91">
      <w:pPr>
        <w:pStyle w:val="ListParagraph"/>
        <w:numPr>
          <w:ilvl w:val="0"/>
          <w:numId w:val="4"/>
        </w:numPr>
        <w:spacing w:after="100" w:line="290" w:lineRule="auto"/>
        <w:jc w:val="both"/>
      </w:pPr>
      <w:r>
        <w:t>Formalise arrangements meant to be enforced. Independent negotiation, legal advice, and written documentation are strong evidence of an intention to create legal relations, and their absence — as in Balfour — is equally strong evidence against it.</w:t>
      </w:r>
    </w:p>
    <w:p w14:paraId="6A0D16E4" w14:textId="77777777" w:rsidR="00F02F8C" w:rsidRDefault="00304E91">
      <w:pPr>
        <w:pStyle w:val="ListParagraph"/>
        <w:numPr>
          <w:ilvl w:val="0"/>
          <w:numId w:val="4"/>
        </w:numPr>
        <w:spacing w:after="100" w:line="290" w:lineRule="auto"/>
        <w:jc w:val="both"/>
      </w:pPr>
      <w:r>
        <w:t>Anticipate the effect of changed relationships. As Merritt v Merritt shows, a arrangement made after a relationship has broken down, or negotiated at arm's length to settle affairs, is far more likely to be treated as legally binding than a similar promise made while the relationship was intact and amicable.</w:t>
      </w:r>
    </w:p>
    <w:p w14:paraId="13341E05" w14:textId="77777777" w:rsidR="00F02F8C" w:rsidRDefault="00304E91">
      <w:pPr>
        <w:pStyle w:val="ListParagraph"/>
        <w:numPr>
          <w:ilvl w:val="0"/>
          <w:numId w:val="4"/>
        </w:numPr>
        <w:spacing w:after="100" w:line="290" w:lineRule="auto"/>
        <w:jc w:val="both"/>
      </w:pPr>
      <w:r>
        <w:t>Recognise intention as an independent compliance check. Just as verifying capacity or authority is a threshold step in contract review, assessing whether a given communication carries a genuine intention to be bound is a necessary, separate step — distinct from checking whether its terms are otherwise complete.</w:t>
      </w:r>
    </w:p>
    <w:p w14:paraId="51705C97" w14:textId="3DB76F5A" w:rsidR="00E22DAB" w:rsidRDefault="00304E91" w:rsidP="00E22DAB">
      <w:pPr>
        <w:rPr>
          <w:b/>
          <w:bCs/>
          <w:color w:val="000000"/>
          <w:sz w:val="28"/>
          <w:szCs w:val="28"/>
        </w:rPr>
      </w:pPr>
      <w:r>
        <w:br w:type="page"/>
      </w:r>
    </w:p>
    <w:p w14:paraId="5E9CDE3A" w14:textId="77777777" w:rsidR="001515F2" w:rsidRDefault="005C104D" w:rsidP="00E22DAB">
      <w:r>
        <w:rPr>
          <w:b/>
          <w:bCs/>
          <w:color w:val="000000"/>
          <w:sz w:val="28"/>
          <w:szCs w:val="28"/>
        </w:rPr>
        <w:lastRenderedPageBreak/>
        <w:t>7. Conclusion</w:t>
      </w:r>
    </w:p>
    <w:p w14:paraId="43063AF3" w14:textId="77777777" w:rsidR="001515F2" w:rsidRDefault="005C104D">
      <w:pPr>
        <w:pStyle w:val="Heading2"/>
        <w:spacing w:before="220" w:after="120"/>
      </w:pPr>
      <w:r>
        <w:rPr>
          <w:b/>
          <w:bCs/>
          <w:color w:val="000000"/>
          <w:sz w:val="24"/>
          <w:szCs w:val="24"/>
        </w:rPr>
        <w:t>7.1 Personal Learning and Observations</w:t>
      </w:r>
    </w:p>
    <w:p w14:paraId="61105AFC" w14:textId="77777777" w:rsidR="00F02F8C" w:rsidRDefault="00304E91">
      <w:pPr>
        <w:spacing w:after="160" w:line="300" w:lineRule="auto"/>
        <w:jc w:val="both"/>
      </w:pPr>
      <w:r>
        <w:t>Balfour v Balfour endures as a foundational case not because the sum in dispute was large, but because the Court of Appeal used an ordinary marital promise to isolate and articulate, with unusual clarity, an element of contract formation that is easy to overlook: intention to create legal relations.</w:t>
      </w:r>
    </w:p>
    <w:p w14:paraId="4B7F662A" w14:textId="77777777" w:rsidR="00F02F8C" w:rsidRDefault="00304E91">
      <w:pPr>
        <w:pStyle w:val="ListParagraph"/>
        <w:numPr>
          <w:ilvl w:val="0"/>
          <w:numId w:val="4"/>
        </w:numPr>
        <w:spacing w:after="100" w:line="290" w:lineRule="auto"/>
        <w:jc w:val="both"/>
      </w:pPr>
      <w:r>
        <w:t>The judgment demonstrates that consideration and intention are analytically distinct requirements; a promise can be supported by consideration and still fail as a contract if the parties never intended legal consequences to follow.</w:t>
      </w:r>
    </w:p>
    <w:p w14:paraId="717F3352" w14:textId="77777777" w:rsidR="00F02F8C" w:rsidRDefault="00304E91">
      <w:pPr>
        <w:pStyle w:val="ListParagraph"/>
        <w:numPr>
          <w:ilvl w:val="0"/>
          <w:numId w:val="4"/>
        </w:numPr>
        <w:spacing w:after="100" w:line="290" w:lineRule="auto"/>
        <w:jc w:val="both"/>
      </w:pPr>
      <w:r>
        <w:t>A key observation is how the court relied on the character of the relationship and the setting of the promise, rather than any express statement by the parties, to determine intention objectively — a reminder that intention in contract law is assessed by how a reasonable observer would view the circumstances, not by what either party later claims to have believed.</w:t>
      </w:r>
    </w:p>
    <w:p w14:paraId="37E0B75E" w14:textId="77777777" w:rsidR="00F02F8C" w:rsidRDefault="00304E91">
      <w:pPr>
        <w:pStyle w:val="ListParagraph"/>
        <w:numPr>
          <w:ilvl w:val="0"/>
          <w:numId w:val="4"/>
        </w:numPr>
        <w:spacing w:after="100" w:line="290" w:lineRule="auto"/>
        <w:jc w:val="both"/>
      </w:pPr>
      <w:r>
        <w:t>As later cases such as Merritt v Merritt demonstrate, the presumption established in Balfour is a starting point rather than an inflexible rule, and shifts readily once the domestic relationship or the formality of the arrangement changes; modern commentary has also criticised the domestic/commercial divide as too rigid, favouring a more contextual, case-by-case inquiry.</w:t>
      </w:r>
    </w:p>
    <w:p w14:paraId="42E75E40" w14:textId="77777777" w:rsidR="00F02F8C" w:rsidRDefault="00304E91">
      <w:pPr>
        <w:pStyle w:val="ListParagraph"/>
        <w:numPr>
          <w:ilvl w:val="0"/>
          <w:numId w:val="4"/>
        </w:numPr>
        <w:spacing w:after="100" w:line="290" w:lineRule="auto"/>
        <w:jc w:val="both"/>
      </w:pPr>
      <w:r>
        <w:t>The case remains instructive precisely because it sits at the intersection of contract law and family life, showing how courts draw a principled line between promises meant to be kept as a matter of trust and promises meant to be enforced as a matter of law.</w:t>
      </w:r>
    </w:p>
    <w:p w14:paraId="41179391" w14:textId="77777777" w:rsidR="00F02F8C" w:rsidRDefault="00304E91">
      <w:pPr>
        <w:spacing w:after="160" w:line="300" w:lineRule="auto"/>
        <w:jc w:val="both"/>
      </w:pPr>
      <w:r>
        <w:t>For any student or practitioner of contract law, Balfour offers a compact but complete illustration of why intention to create legal relations stands as an independent requirement of a binding contract, and of how courts use the domestic/commercial distinction — however imperfect — to give that requirement practical effect.</w:t>
      </w:r>
    </w:p>
    <w:p w14:paraId="1DB82425" w14:textId="77777777" w:rsidR="001515F2" w:rsidRDefault="005C104D">
      <w:pPr>
        <w:spacing w:after="160" w:line="300" w:lineRule="auto"/>
        <w:jc w:val="both"/>
      </w:pPr>
      <w:r>
        <w:t>Hadley v Baxendale endures as a foundational case not because the underlying carriage contract was commercially significant, but because the Court of Exchequer used a delayed mill shaft to articulate, with lasting clarity, a workable limit on liability for breach of contract.</w:t>
      </w:r>
    </w:p>
    <w:p w14:paraId="3C4F6679" w14:textId="77777777" w:rsidR="001515F2" w:rsidRDefault="005C104D">
      <w:pPr>
        <w:pStyle w:val="ListParagraph"/>
        <w:numPr>
          <w:ilvl w:val="0"/>
          <w:numId w:val="2"/>
        </w:numPr>
        <w:spacing w:after="100" w:line="290" w:lineRule="auto"/>
        <w:jc w:val="both"/>
      </w:pPr>
      <w:r>
        <w:t>The judgment demonstrates how courts balance fairness to the injured party against the practical need to give contracting parties a predictable basis for pricing and managing risk; without some limiting principle, a breaching party could face liability for losses wildly disproportionate to the bargain actually struck.</w:t>
      </w:r>
    </w:p>
    <w:p w14:paraId="4D1B114A" w14:textId="77777777" w:rsidR="001515F2" w:rsidRDefault="005C104D">
      <w:pPr>
        <w:pStyle w:val="ListParagraph"/>
        <w:numPr>
          <w:ilvl w:val="0"/>
          <w:numId w:val="2"/>
        </w:numPr>
        <w:spacing w:after="100" w:line="290" w:lineRule="auto"/>
        <w:jc w:val="both"/>
      </w:pPr>
      <w:r>
        <w:lastRenderedPageBreak/>
        <w:t>A key observation is how the two-limbed test separates ordinary, foreseeable loss (recoverable without special notice) from extraordinary loss dependent on the claimant's own particular circumstances (recoverable only if specifically communicated) — a structure that remains the organising framework for remoteness of damage in contract law today.</w:t>
      </w:r>
    </w:p>
    <w:p w14:paraId="22731BDA" w14:textId="77777777" w:rsidR="001515F2" w:rsidRDefault="005C104D">
      <w:pPr>
        <w:pStyle w:val="ListParagraph"/>
        <w:numPr>
          <w:ilvl w:val="0"/>
          <w:numId w:val="2"/>
        </w:numPr>
        <w:spacing w:after="100" w:line="290" w:lineRule="auto"/>
        <w:jc w:val="both"/>
      </w:pPr>
      <w:r>
        <w:t>The case also illustrates how a plainly valid, uncontested contract (clear offer, acceptance, consideration, and intention) can still generate significant litigation over its consequences; contract law is concerned not only with whether an agreement was formed, but with defining the proper scope of liability once it is broken.</w:t>
      </w:r>
    </w:p>
    <w:p w14:paraId="3500371D" w14:textId="77777777" w:rsidR="001515F2" w:rsidRDefault="005C104D">
      <w:pPr>
        <w:pStyle w:val="ListParagraph"/>
        <w:numPr>
          <w:ilvl w:val="0"/>
          <w:numId w:val="2"/>
        </w:numPr>
        <w:spacing w:after="100" w:line="290" w:lineRule="auto"/>
        <w:jc w:val="both"/>
      </w:pPr>
      <w:r>
        <w:t>The rule's continuing adoption across English and American contract law demonstrates its practical durability: modern statutes, restatements, and standard commercial contracts still draw directly on the natural-consequence and special-notice distinction first articulated by Alderson B in 1854.</w:t>
      </w:r>
    </w:p>
    <w:p w14:paraId="644F20DC" w14:textId="77777777" w:rsidR="001515F2" w:rsidRDefault="005C104D">
      <w:pPr>
        <w:spacing w:after="160" w:line="300" w:lineRule="auto"/>
        <w:jc w:val="both"/>
      </w:pPr>
      <w:r>
        <w:t>For any student or practitioner of contract law, Hadley v Baxendale offers a compact but complete illustration of how courts define the outer boundary of contractual liability, and why clear communication between contracting parties remains the simplest and most effective way to manage the risk of unusual or extraordinary loss.</w:t>
      </w:r>
    </w:p>
    <w:p w14:paraId="4085051B" w14:textId="77777777" w:rsidR="001515F2" w:rsidRDefault="005C104D">
      <w:pPr>
        <w:pStyle w:val="Heading2"/>
        <w:spacing w:before="220" w:after="120"/>
      </w:pPr>
      <w:r>
        <w:rPr>
          <w:b/>
          <w:bCs/>
          <w:color w:val="000000"/>
          <w:sz w:val="24"/>
          <w:szCs w:val="24"/>
        </w:rPr>
        <w:t>IRAC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7480"/>
      </w:tblGrid>
      <w:tr w:rsidR="00F02F8C" w14:paraId="21395F22" w14:textId="77777777">
        <w:trPr>
          <w:tblHeader/>
        </w:trPr>
        <w:tc>
          <w:tcPr>
            <w:tcW w:w="1000" w:type="pct"/>
            <w:shd w:val="clear" w:color="auto" w:fill="D9D9D9"/>
            <w:tcMar>
              <w:top w:w="100" w:type="dxa"/>
              <w:left w:w="120" w:type="dxa"/>
              <w:bottom w:w="100" w:type="dxa"/>
              <w:right w:w="120" w:type="dxa"/>
            </w:tcMar>
            <w:vAlign w:val="center"/>
          </w:tcPr>
          <w:p w14:paraId="4A21B812" w14:textId="77777777" w:rsidR="00F02F8C" w:rsidRDefault="00304E91">
            <w:r>
              <w:rPr>
                <w:b/>
                <w:bCs/>
              </w:rPr>
              <w:t>Element</w:t>
            </w:r>
          </w:p>
        </w:tc>
        <w:tc>
          <w:tcPr>
            <w:tcW w:w="1000" w:type="pct"/>
            <w:shd w:val="clear" w:color="auto" w:fill="D9D9D9"/>
            <w:tcMar>
              <w:top w:w="100" w:type="dxa"/>
              <w:left w:w="120" w:type="dxa"/>
              <w:bottom w:w="100" w:type="dxa"/>
              <w:right w:w="120" w:type="dxa"/>
            </w:tcMar>
            <w:vAlign w:val="center"/>
          </w:tcPr>
          <w:p w14:paraId="0A9F6D86" w14:textId="77777777" w:rsidR="00F02F8C" w:rsidRDefault="00304E91">
            <w:r>
              <w:rPr>
                <w:b/>
                <w:bCs/>
              </w:rPr>
              <w:t>Application to Balfour</w:t>
            </w:r>
          </w:p>
        </w:tc>
      </w:tr>
      <w:tr w:rsidR="00F02F8C" w14:paraId="6B1EEBE8" w14:textId="77777777">
        <w:tc>
          <w:tcPr>
            <w:tcW w:w="1000" w:type="pct"/>
            <w:shd w:val="clear" w:color="auto" w:fill="D9D9D9"/>
            <w:tcMar>
              <w:top w:w="100" w:type="dxa"/>
              <w:left w:w="120" w:type="dxa"/>
              <w:bottom w:w="100" w:type="dxa"/>
              <w:right w:w="120" w:type="dxa"/>
            </w:tcMar>
            <w:vAlign w:val="center"/>
          </w:tcPr>
          <w:p w14:paraId="310370B2" w14:textId="77777777" w:rsidR="00F02F8C" w:rsidRDefault="00304E91">
            <w:r>
              <w:rPr>
                <w:b/>
                <w:bCs/>
              </w:rPr>
              <w:t>Issue</w:t>
            </w:r>
          </w:p>
        </w:tc>
        <w:tc>
          <w:tcPr>
            <w:tcW w:w="4000" w:type="pct"/>
            <w:tcMar>
              <w:top w:w="100" w:type="dxa"/>
              <w:left w:w="120" w:type="dxa"/>
              <w:bottom w:w="100" w:type="dxa"/>
              <w:right w:w="120" w:type="dxa"/>
            </w:tcMar>
          </w:tcPr>
          <w:p w14:paraId="6C07323B" w14:textId="77777777" w:rsidR="00F02F8C" w:rsidRDefault="00304E91">
            <w:pPr>
              <w:jc w:val="both"/>
            </w:pPr>
            <w:r>
              <w:t>Was there an intention to create legal relations between Mr. and Mrs. Balfour?</w:t>
            </w:r>
          </w:p>
        </w:tc>
      </w:tr>
      <w:tr w:rsidR="00F02F8C" w14:paraId="563F0ABE" w14:textId="77777777">
        <w:tc>
          <w:tcPr>
            <w:tcW w:w="1000" w:type="pct"/>
            <w:shd w:val="clear" w:color="auto" w:fill="D9D9D9"/>
            <w:tcMar>
              <w:top w:w="100" w:type="dxa"/>
              <w:left w:w="120" w:type="dxa"/>
              <w:bottom w:w="100" w:type="dxa"/>
              <w:right w:w="120" w:type="dxa"/>
            </w:tcMar>
            <w:vAlign w:val="center"/>
          </w:tcPr>
          <w:p w14:paraId="1C4D0178" w14:textId="77777777" w:rsidR="00F02F8C" w:rsidRDefault="00304E91">
            <w:r>
              <w:rPr>
                <w:b/>
                <w:bCs/>
              </w:rPr>
              <w:t>Rule</w:t>
            </w:r>
          </w:p>
        </w:tc>
        <w:tc>
          <w:tcPr>
            <w:tcW w:w="4000" w:type="pct"/>
            <w:tcMar>
              <w:top w:w="100" w:type="dxa"/>
              <w:left w:w="120" w:type="dxa"/>
              <w:bottom w:w="100" w:type="dxa"/>
              <w:right w:w="120" w:type="dxa"/>
            </w:tcMar>
          </w:tcPr>
          <w:p w14:paraId="513E1882" w14:textId="77777777" w:rsidR="00F02F8C" w:rsidRDefault="00304E91">
            <w:pPr>
              <w:jc w:val="both"/>
            </w:pPr>
            <w:r>
              <w:t>Domestic and social agreements are presumed not to be legally binding unless proven otherwise; the presumption is rebuttable with clear evidence of contrary intent.</w:t>
            </w:r>
          </w:p>
        </w:tc>
      </w:tr>
      <w:tr w:rsidR="00F02F8C" w14:paraId="72630EA5" w14:textId="77777777">
        <w:tc>
          <w:tcPr>
            <w:tcW w:w="1000" w:type="pct"/>
            <w:shd w:val="clear" w:color="auto" w:fill="D9D9D9"/>
            <w:tcMar>
              <w:top w:w="100" w:type="dxa"/>
              <w:left w:w="120" w:type="dxa"/>
              <w:bottom w:w="100" w:type="dxa"/>
              <w:right w:w="120" w:type="dxa"/>
            </w:tcMar>
            <w:vAlign w:val="center"/>
          </w:tcPr>
          <w:p w14:paraId="4B8BFADB" w14:textId="77777777" w:rsidR="00F02F8C" w:rsidRDefault="00304E91">
            <w:r>
              <w:rPr>
                <w:b/>
                <w:bCs/>
              </w:rPr>
              <w:t>Application</w:t>
            </w:r>
          </w:p>
        </w:tc>
        <w:tc>
          <w:tcPr>
            <w:tcW w:w="4000" w:type="pct"/>
            <w:tcMar>
              <w:top w:w="100" w:type="dxa"/>
              <w:left w:w="120" w:type="dxa"/>
              <w:bottom w:w="100" w:type="dxa"/>
              <w:right w:w="120" w:type="dxa"/>
            </w:tcMar>
          </w:tcPr>
          <w:p w14:paraId="5423899C" w14:textId="77777777" w:rsidR="00F02F8C" w:rsidRDefault="00304E91">
            <w:pPr>
              <w:jc w:val="both"/>
            </w:pPr>
            <w:r>
              <w:t>The promise of £30 a month was made between husband and wife during an intact, amicable marriage, for maintenance purposes; there was no evidence either party intended the arrangement to be legally enforceable.</w:t>
            </w:r>
          </w:p>
        </w:tc>
      </w:tr>
      <w:tr w:rsidR="00F02F8C" w14:paraId="40EADA1E" w14:textId="77777777">
        <w:tc>
          <w:tcPr>
            <w:tcW w:w="1000" w:type="pct"/>
            <w:shd w:val="clear" w:color="auto" w:fill="D9D9D9"/>
            <w:tcMar>
              <w:top w:w="100" w:type="dxa"/>
              <w:left w:w="120" w:type="dxa"/>
              <w:bottom w:w="100" w:type="dxa"/>
              <w:right w:w="120" w:type="dxa"/>
            </w:tcMar>
            <w:vAlign w:val="center"/>
          </w:tcPr>
          <w:p w14:paraId="5D35BC23" w14:textId="77777777" w:rsidR="00F02F8C" w:rsidRDefault="00304E91">
            <w:r>
              <w:rPr>
                <w:b/>
                <w:bCs/>
              </w:rPr>
              <w:t>Conclusion</w:t>
            </w:r>
          </w:p>
        </w:tc>
        <w:tc>
          <w:tcPr>
            <w:tcW w:w="4000" w:type="pct"/>
            <w:tcMar>
              <w:top w:w="100" w:type="dxa"/>
              <w:left w:w="120" w:type="dxa"/>
              <w:bottom w:w="100" w:type="dxa"/>
              <w:right w:w="120" w:type="dxa"/>
            </w:tcMar>
          </w:tcPr>
          <w:p w14:paraId="717F6FA4" w14:textId="77777777" w:rsidR="00F02F8C" w:rsidRDefault="00304E91">
            <w:pPr>
              <w:jc w:val="both"/>
            </w:pPr>
            <w:r>
              <w:t>No contract existed. The promise was not enforceable, and Mr. Balfour's appeal was allowed.</w:t>
            </w:r>
          </w:p>
        </w:tc>
      </w:tr>
      <w:tr w:rsidR="001515F2" w14:paraId="694D7B73" w14:textId="77777777">
        <w:trPr>
          <w:tblHeader/>
        </w:trPr>
        <w:tc>
          <w:tcPr>
            <w:tcW w:w="1000" w:type="pct"/>
            <w:shd w:val="clear" w:color="auto" w:fill="D9D9D9"/>
            <w:tcMar>
              <w:top w:w="100" w:type="dxa"/>
              <w:left w:w="120" w:type="dxa"/>
              <w:bottom w:w="100" w:type="dxa"/>
              <w:right w:w="120" w:type="dxa"/>
            </w:tcMar>
            <w:vAlign w:val="center"/>
          </w:tcPr>
          <w:p w14:paraId="572FF982" w14:textId="77777777" w:rsidR="001515F2" w:rsidRDefault="005C104D">
            <w:r>
              <w:rPr>
                <w:b/>
                <w:bCs/>
              </w:rPr>
              <w:t>Element</w:t>
            </w:r>
          </w:p>
        </w:tc>
        <w:tc>
          <w:tcPr>
            <w:tcW w:w="1000" w:type="pct"/>
            <w:shd w:val="clear" w:color="auto" w:fill="D9D9D9"/>
            <w:tcMar>
              <w:top w:w="100" w:type="dxa"/>
              <w:left w:w="120" w:type="dxa"/>
              <w:bottom w:w="100" w:type="dxa"/>
              <w:right w:w="120" w:type="dxa"/>
            </w:tcMar>
            <w:vAlign w:val="center"/>
          </w:tcPr>
          <w:p w14:paraId="6683CC9C" w14:textId="77777777" w:rsidR="001515F2" w:rsidRDefault="005C104D">
            <w:r>
              <w:rPr>
                <w:b/>
                <w:bCs/>
              </w:rPr>
              <w:t>Application to Hadley v Baxendale</w:t>
            </w:r>
          </w:p>
        </w:tc>
      </w:tr>
      <w:tr w:rsidR="001515F2" w14:paraId="1C35B820" w14:textId="77777777">
        <w:tc>
          <w:tcPr>
            <w:tcW w:w="1000" w:type="pct"/>
            <w:shd w:val="clear" w:color="auto" w:fill="D9D9D9"/>
            <w:tcMar>
              <w:top w:w="100" w:type="dxa"/>
              <w:left w:w="120" w:type="dxa"/>
              <w:bottom w:w="100" w:type="dxa"/>
              <w:right w:w="120" w:type="dxa"/>
            </w:tcMar>
            <w:vAlign w:val="center"/>
          </w:tcPr>
          <w:p w14:paraId="5C85D181" w14:textId="77777777" w:rsidR="001515F2" w:rsidRDefault="005C104D">
            <w:r>
              <w:rPr>
                <w:b/>
                <w:bCs/>
              </w:rPr>
              <w:t>Issue</w:t>
            </w:r>
          </w:p>
        </w:tc>
        <w:tc>
          <w:tcPr>
            <w:tcW w:w="4000" w:type="pct"/>
            <w:tcMar>
              <w:top w:w="100" w:type="dxa"/>
              <w:left w:w="120" w:type="dxa"/>
              <w:bottom w:w="100" w:type="dxa"/>
              <w:right w:w="120" w:type="dxa"/>
            </w:tcMar>
          </w:tcPr>
          <w:p w14:paraId="14C31CD4" w14:textId="77777777" w:rsidR="001515F2" w:rsidRDefault="005C104D">
            <w:pPr>
              <w:jc w:val="both"/>
            </w:pPr>
            <w:r>
              <w:t>Can a party in breach of contract be held liable for consequential losses, such as lost profits, that were not foreseeable at the time the contract was made?</w:t>
            </w:r>
          </w:p>
        </w:tc>
      </w:tr>
      <w:tr w:rsidR="001515F2" w14:paraId="27AFF730" w14:textId="77777777">
        <w:tc>
          <w:tcPr>
            <w:tcW w:w="1000" w:type="pct"/>
            <w:shd w:val="clear" w:color="auto" w:fill="D9D9D9"/>
            <w:tcMar>
              <w:top w:w="100" w:type="dxa"/>
              <w:left w:w="120" w:type="dxa"/>
              <w:bottom w:w="100" w:type="dxa"/>
              <w:right w:w="120" w:type="dxa"/>
            </w:tcMar>
            <w:vAlign w:val="center"/>
          </w:tcPr>
          <w:p w14:paraId="53E56590" w14:textId="77777777" w:rsidR="001515F2" w:rsidRDefault="005C104D">
            <w:r>
              <w:rPr>
                <w:b/>
                <w:bCs/>
              </w:rPr>
              <w:t>Rule</w:t>
            </w:r>
          </w:p>
        </w:tc>
        <w:tc>
          <w:tcPr>
            <w:tcW w:w="4000" w:type="pct"/>
            <w:tcMar>
              <w:top w:w="100" w:type="dxa"/>
              <w:left w:w="120" w:type="dxa"/>
              <w:bottom w:w="100" w:type="dxa"/>
              <w:right w:w="120" w:type="dxa"/>
            </w:tcMar>
          </w:tcPr>
          <w:p w14:paraId="22761929" w14:textId="77777777" w:rsidR="001515F2" w:rsidRDefault="005C104D">
            <w:pPr>
              <w:jc w:val="both"/>
            </w:pPr>
            <w:r>
              <w:t>Damages are recoverable only if they arise naturally from the breach in the usual course of things, or if they were within the reasonable contemplation of both parties because special circumstances were communicated at the time of contracting.</w:t>
            </w:r>
          </w:p>
        </w:tc>
      </w:tr>
      <w:tr w:rsidR="001515F2" w14:paraId="57692104" w14:textId="77777777">
        <w:tc>
          <w:tcPr>
            <w:tcW w:w="1000" w:type="pct"/>
            <w:shd w:val="clear" w:color="auto" w:fill="D9D9D9"/>
            <w:tcMar>
              <w:top w:w="100" w:type="dxa"/>
              <w:left w:w="120" w:type="dxa"/>
              <w:bottom w:w="100" w:type="dxa"/>
              <w:right w:w="120" w:type="dxa"/>
            </w:tcMar>
            <w:vAlign w:val="center"/>
          </w:tcPr>
          <w:p w14:paraId="24AAB63E" w14:textId="77777777" w:rsidR="001515F2" w:rsidRDefault="005C104D">
            <w:r>
              <w:rPr>
                <w:b/>
                <w:bCs/>
              </w:rPr>
              <w:lastRenderedPageBreak/>
              <w:t>Application</w:t>
            </w:r>
          </w:p>
        </w:tc>
        <w:tc>
          <w:tcPr>
            <w:tcW w:w="4000" w:type="pct"/>
            <w:tcMar>
              <w:top w:w="100" w:type="dxa"/>
              <w:left w:w="120" w:type="dxa"/>
              <w:bottom w:w="100" w:type="dxa"/>
              <w:right w:w="120" w:type="dxa"/>
            </w:tcMar>
          </w:tcPr>
          <w:p w14:paraId="441E3F24" w14:textId="77777777" w:rsidR="001515F2" w:rsidRDefault="005C104D">
            <w:pPr>
              <w:jc w:val="both"/>
            </w:pPr>
            <w:r>
              <w:t>Hadley requested fast delivery of the broken crankshaft but never told the carrier that the mill had no spare part and would be forced to close entirely pending its return; the resulting loss of profits was not a natural consequence of ordinary delay and was not covered by any special notice.</w:t>
            </w:r>
          </w:p>
        </w:tc>
      </w:tr>
      <w:tr w:rsidR="001515F2" w14:paraId="7ED7BAD4" w14:textId="77777777">
        <w:tc>
          <w:tcPr>
            <w:tcW w:w="1000" w:type="pct"/>
            <w:shd w:val="clear" w:color="auto" w:fill="D9D9D9"/>
            <w:tcMar>
              <w:top w:w="100" w:type="dxa"/>
              <w:left w:w="120" w:type="dxa"/>
              <w:bottom w:w="100" w:type="dxa"/>
              <w:right w:w="120" w:type="dxa"/>
            </w:tcMar>
            <w:vAlign w:val="center"/>
          </w:tcPr>
          <w:p w14:paraId="77248798" w14:textId="77777777" w:rsidR="001515F2" w:rsidRDefault="005C104D">
            <w:r>
              <w:rPr>
                <w:b/>
                <w:bCs/>
              </w:rPr>
              <w:t>Conclusion</w:t>
            </w:r>
          </w:p>
        </w:tc>
        <w:tc>
          <w:tcPr>
            <w:tcW w:w="4000" w:type="pct"/>
            <w:tcMar>
              <w:top w:w="100" w:type="dxa"/>
              <w:left w:w="120" w:type="dxa"/>
              <w:bottom w:w="100" w:type="dxa"/>
              <w:right w:w="120" w:type="dxa"/>
            </w:tcMar>
          </w:tcPr>
          <w:p w14:paraId="4F72B6B2" w14:textId="77777777" w:rsidR="001515F2" w:rsidRDefault="005C104D">
            <w:pPr>
              <w:jc w:val="both"/>
            </w:pPr>
            <w:r>
              <w:t>Baxendale was not liable for the mill's lost profits. A new trial was ordered, with the jury directed to exclude unforeseeable consequential damages from any award.</w:t>
            </w:r>
          </w:p>
        </w:tc>
      </w:tr>
    </w:tbl>
    <w:p w14:paraId="0CBE8E56" w14:textId="77777777" w:rsidR="005C104D" w:rsidRDefault="005C104D"/>
    <w:sectPr w:rsidR="005C10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0A74C" w14:textId="77777777" w:rsidR="00D67B00" w:rsidRDefault="00D67B00">
      <w:r>
        <w:separator/>
      </w:r>
    </w:p>
  </w:endnote>
  <w:endnote w:type="continuationSeparator" w:id="0">
    <w:p w14:paraId="43E0EAA9" w14:textId="77777777" w:rsidR="00D67B00" w:rsidRDefault="00D67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9165" w14:textId="77777777" w:rsidR="001515F2" w:rsidRDefault="005C104D">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F173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B011E" w14:textId="77777777" w:rsidR="00D67B00" w:rsidRDefault="00D67B00">
      <w:r>
        <w:separator/>
      </w:r>
    </w:p>
  </w:footnote>
  <w:footnote w:type="continuationSeparator" w:id="0">
    <w:p w14:paraId="609C13E3" w14:textId="77777777" w:rsidR="00D67B00" w:rsidRDefault="00D67B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FED0" w14:textId="6E2493DA" w:rsidR="001515F2" w:rsidRDefault="001515F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06D45"/>
    <w:multiLevelType w:val="hybridMultilevel"/>
    <w:tmpl w:val="A3AA39EA"/>
    <w:lvl w:ilvl="0" w:tplc="266C61BA">
      <w:start w:val="1"/>
      <w:numFmt w:val="bullet"/>
      <w:lvlText w:val="•"/>
      <w:lvlJc w:val="left"/>
      <w:pPr>
        <w:ind w:left="540" w:hanging="260"/>
      </w:pPr>
      <w:rPr>
        <w:rFonts w:ascii="Times New Roman" w:eastAsia="Times New Roman" w:hAnsi="Times New Roman" w:cs="Times New Roman"/>
      </w:rPr>
    </w:lvl>
    <w:lvl w:ilvl="1" w:tplc="AF002ECC">
      <w:numFmt w:val="decimal"/>
      <w:lvlText w:val=""/>
      <w:lvlJc w:val="left"/>
    </w:lvl>
    <w:lvl w:ilvl="2" w:tplc="C24A2ABE">
      <w:numFmt w:val="decimal"/>
      <w:lvlText w:val=""/>
      <w:lvlJc w:val="left"/>
    </w:lvl>
    <w:lvl w:ilvl="3" w:tplc="FE34AD5C">
      <w:numFmt w:val="decimal"/>
      <w:lvlText w:val=""/>
      <w:lvlJc w:val="left"/>
    </w:lvl>
    <w:lvl w:ilvl="4" w:tplc="1B2E0846">
      <w:numFmt w:val="decimal"/>
      <w:lvlText w:val=""/>
      <w:lvlJc w:val="left"/>
    </w:lvl>
    <w:lvl w:ilvl="5" w:tplc="AD9856E0">
      <w:numFmt w:val="decimal"/>
      <w:lvlText w:val=""/>
      <w:lvlJc w:val="left"/>
    </w:lvl>
    <w:lvl w:ilvl="6" w:tplc="29840398">
      <w:numFmt w:val="decimal"/>
      <w:lvlText w:val=""/>
      <w:lvlJc w:val="left"/>
    </w:lvl>
    <w:lvl w:ilvl="7" w:tplc="56A205CC">
      <w:numFmt w:val="decimal"/>
      <w:lvlText w:val=""/>
      <w:lvlJc w:val="left"/>
    </w:lvl>
    <w:lvl w:ilvl="8" w:tplc="BA445C74">
      <w:numFmt w:val="decimal"/>
      <w:lvlText w:val=""/>
      <w:lvlJc w:val="left"/>
    </w:lvl>
  </w:abstractNum>
  <w:abstractNum w:abstractNumId="1" w15:restartNumberingAfterBreak="0">
    <w:nsid w:val="382C39D6"/>
    <w:multiLevelType w:val="hybridMultilevel"/>
    <w:tmpl w:val="772C42EA"/>
    <w:lvl w:ilvl="0" w:tplc="7CDC6FD4">
      <w:start w:val="1"/>
      <w:numFmt w:val="bullet"/>
      <w:lvlText w:val="●"/>
      <w:lvlJc w:val="left"/>
      <w:pPr>
        <w:ind w:left="720" w:hanging="360"/>
      </w:pPr>
    </w:lvl>
    <w:lvl w:ilvl="1" w:tplc="907EC328">
      <w:start w:val="1"/>
      <w:numFmt w:val="bullet"/>
      <w:lvlText w:val="○"/>
      <w:lvlJc w:val="left"/>
      <w:pPr>
        <w:ind w:left="1440" w:hanging="360"/>
      </w:pPr>
    </w:lvl>
    <w:lvl w:ilvl="2" w:tplc="622EF8D2">
      <w:start w:val="1"/>
      <w:numFmt w:val="bullet"/>
      <w:lvlText w:val="■"/>
      <w:lvlJc w:val="left"/>
      <w:pPr>
        <w:ind w:left="2160" w:hanging="360"/>
      </w:pPr>
    </w:lvl>
    <w:lvl w:ilvl="3" w:tplc="56C08C68">
      <w:start w:val="1"/>
      <w:numFmt w:val="bullet"/>
      <w:lvlText w:val="●"/>
      <w:lvlJc w:val="left"/>
      <w:pPr>
        <w:ind w:left="2880" w:hanging="360"/>
      </w:pPr>
    </w:lvl>
    <w:lvl w:ilvl="4" w:tplc="EFFAEB34">
      <w:start w:val="1"/>
      <w:numFmt w:val="bullet"/>
      <w:lvlText w:val="○"/>
      <w:lvlJc w:val="left"/>
      <w:pPr>
        <w:ind w:left="3600" w:hanging="360"/>
      </w:pPr>
    </w:lvl>
    <w:lvl w:ilvl="5" w:tplc="C6C2B7BC">
      <w:start w:val="1"/>
      <w:numFmt w:val="bullet"/>
      <w:lvlText w:val="■"/>
      <w:lvlJc w:val="left"/>
      <w:pPr>
        <w:ind w:left="4320" w:hanging="360"/>
      </w:pPr>
    </w:lvl>
    <w:lvl w:ilvl="6" w:tplc="3AA09776">
      <w:start w:val="1"/>
      <w:numFmt w:val="bullet"/>
      <w:lvlText w:val="●"/>
      <w:lvlJc w:val="left"/>
      <w:pPr>
        <w:ind w:left="5040" w:hanging="360"/>
      </w:pPr>
    </w:lvl>
    <w:lvl w:ilvl="7" w:tplc="FAE826C2">
      <w:start w:val="1"/>
      <w:numFmt w:val="bullet"/>
      <w:lvlText w:val="●"/>
      <w:lvlJc w:val="left"/>
      <w:pPr>
        <w:ind w:left="5760" w:hanging="360"/>
      </w:pPr>
    </w:lvl>
    <w:lvl w:ilvl="8" w:tplc="53A69794">
      <w:start w:val="1"/>
      <w:numFmt w:val="bullet"/>
      <w:lvlText w:val="●"/>
      <w:lvlJc w:val="left"/>
      <w:pPr>
        <w:ind w:left="6480" w:hanging="360"/>
      </w:pPr>
    </w:lvl>
  </w:abstractNum>
  <w:abstractNum w:abstractNumId="2" w15:restartNumberingAfterBreak="0">
    <w:nsid w:val="700824DE"/>
    <w:multiLevelType w:val="hybridMultilevel"/>
    <w:tmpl w:val="31948B5E"/>
    <w:lvl w:ilvl="0" w:tplc="2B40C474">
      <w:start w:val="1"/>
      <w:numFmt w:val="bullet"/>
      <w:lvlText w:val="•"/>
      <w:lvlJc w:val="left"/>
      <w:pPr>
        <w:ind w:left="540" w:hanging="260"/>
      </w:pPr>
      <w:rPr>
        <w:rFonts w:ascii="Times New Roman" w:eastAsia="Times New Roman" w:hAnsi="Times New Roman" w:cs="Times New Roman"/>
      </w:rPr>
    </w:lvl>
    <w:lvl w:ilvl="1" w:tplc="33D84A38">
      <w:numFmt w:val="decimal"/>
      <w:lvlText w:val=""/>
      <w:lvlJc w:val="left"/>
    </w:lvl>
    <w:lvl w:ilvl="2" w:tplc="AD82C142">
      <w:numFmt w:val="decimal"/>
      <w:lvlText w:val=""/>
      <w:lvlJc w:val="left"/>
    </w:lvl>
    <w:lvl w:ilvl="3" w:tplc="A0AE9A58">
      <w:numFmt w:val="decimal"/>
      <w:lvlText w:val=""/>
      <w:lvlJc w:val="left"/>
    </w:lvl>
    <w:lvl w:ilvl="4" w:tplc="B68456DE">
      <w:numFmt w:val="decimal"/>
      <w:lvlText w:val=""/>
      <w:lvlJc w:val="left"/>
    </w:lvl>
    <w:lvl w:ilvl="5" w:tplc="DDC0D3BE">
      <w:numFmt w:val="decimal"/>
      <w:lvlText w:val=""/>
      <w:lvlJc w:val="left"/>
    </w:lvl>
    <w:lvl w:ilvl="6" w:tplc="CFAEF330">
      <w:numFmt w:val="decimal"/>
      <w:lvlText w:val=""/>
      <w:lvlJc w:val="left"/>
    </w:lvl>
    <w:lvl w:ilvl="7" w:tplc="08E0D2D6">
      <w:numFmt w:val="decimal"/>
      <w:lvlText w:val=""/>
      <w:lvlJc w:val="left"/>
    </w:lvl>
    <w:lvl w:ilvl="8" w:tplc="D5A49C70">
      <w:numFmt w:val="decimal"/>
      <w:lvlText w:val=""/>
      <w:lvlJc w:val="left"/>
    </w:lvl>
  </w:abstractNum>
  <w:abstractNum w:abstractNumId="3" w15:restartNumberingAfterBreak="0">
    <w:nsid w:val="77292BEA"/>
    <w:multiLevelType w:val="hybridMultilevel"/>
    <w:tmpl w:val="C32E5CB2"/>
    <w:lvl w:ilvl="0" w:tplc="9702B5B8">
      <w:start w:val="1"/>
      <w:numFmt w:val="bullet"/>
      <w:lvlText w:val="●"/>
      <w:lvlJc w:val="left"/>
      <w:pPr>
        <w:ind w:left="720" w:hanging="360"/>
      </w:pPr>
    </w:lvl>
    <w:lvl w:ilvl="1" w:tplc="FBA0EDC6">
      <w:start w:val="1"/>
      <w:numFmt w:val="bullet"/>
      <w:lvlText w:val="○"/>
      <w:lvlJc w:val="left"/>
      <w:pPr>
        <w:ind w:left="1440" w:hanging="360"/>
      </w:pPr>
    </w:lvl>
    <w:lvl w:ilvl="2" w:tplc="608C4FC8">
      <w:start w:val="1"/>
      <w:numFmt w:val="bullet"/>
      <w:lvlText w:val="■"/>
      <w:lvlJc w:val="left"/>
      <w:pPr>
        <w:ind w:left="2160" w:hanging="360"/>
      </w:pPr>
    </w:lvl>
    <w:lvl w:ilvl="3" w:tplc="376EF67E">
      <w:start w:val="1"/>
      <w:numFmt w:val="bullet"/>
      <w:lvlText w:val="●"/>
      <w:lvlJc w:val="left"/>
      <w:pPr>
        <w:ind w:left="2880" w:hanging="360"/>
      </w:pPr>
    </w:lvl>
    <w:lvl w:ilvl="4" w:tplc="DB3C3258">
      <w:start w:val="1"/>
      <w:numFmt w:val="bullet"/>
      <w:lvlText w:val="○"/>
      <w:lvlJc w:val="left"/>
      <w:pPr>
        <w:ind w:left="3600" w:hanging="360"/>
      </w:pPr>
    </w:lvl>
    <w:lvl w:ilvl="5" w:tplc="B01A5D94">
      <w:start w:val="1"/>
      <w:numFmt w:val="bullet"/>
      <w:lvlText w:val="■"/>
      <w:lvlJc w:val="left"/>
      <w:pPr>
        <w:ind w:left="4320" w:hanging="360"/>
      </w:pPr>
    </w:lvl>
    <w:lvl w:ilvl="6" w:tplc="87E617B8">
      <w:start w:val="1"/>
      <w:numFmt w:val="bullet"/>
      <w:lvlText w:val="●"/>
      <w:lvlJc w:val="left"/>
      <w:pPr>
        <w:ind w:left="5040" w:hanging="360"/>
      </w:pPr>
    </w:lvl>
    <w:lvl w:ilvl="7" w:tplc="6B0E52CA">
      <w:start w:val="1"/>
      <w:numFmt w:val="bullet"/>
      <w:lvlText w:val="●"/>
      <w:lvlJc w:val="left"/>
      <w:pPr>
        <w:ind w:left="5760" w:hanging="360"/>
      </w:pPr>
    </w:lvl>
    <w:lvl w:ilvl="8" w:tplc="A7AE5380">
      <w:start w:val="1"/>
      <w:numFmt w:val="bullet"/>
      <w:lvlText w:val="●"/>
      <w:lvlJc w:val="left"/>
      <w:pPr>
        <w:ind w:left="6480" w:hanging="360"/>
      </w:pPr>
    </w:lvl>
  </w:abstractNum>
  <w:num w:numId="1" w16cid:durableId="479688347">
    <w:abstractNumId w:val="1"/>
    <w:lvlOverride w:ilvl="0">
      <w:startOverride w:val="1"/>
    </w:lvlOverride>
  </w:num>
  <w:num w:numId="2" w16cid:durableId="329918374">
    <w:abstractNumId w:val="2"/>
    <w:lvlOverride w:ilvl="0">
      <w:startOverride w:val="1"/>
    </w:lvlOverride>
  </w:num>
  <w:num w:numId="3" w16cid:durableId="955721178">
    <w:abstractNumId w:val="3"/>
    <w:lvlOverride w:ilvl="0">
      <w:startOverride w:val="1"/>
    </w:lvlOverride>
  </w:num>
  <w:num w:numId="4" w16cid:durableId="2104377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F8C"/>
    <w:rsid w:val="000D174D"/>
    <w:rsid w:val="001515F2"/>
    <w:rsid w:val="00304E91"/>
    <w:rsid w:val="004727FB"/>
    <w:rsid w:val="004F1731"/>
    <w:rsid w:val="005966FF"/>
    <w:rsid w:val="005C104D"/>
    <w:rsid w:val="00716BB0"/>
    <w:rsid w:val="00786582"/>
    <w:rsid w:val="00840A95"/>
    <w:rsid w:val="00890861"/>
    <w:rsid w:val="008D7643"/>
    <w:rsid w:val="0097022E"/>
    <w:rsid w:val="00BA4F5C"/>
    <w:rsid w:val="00BE65EE"/>
    <w:rsid w:val="00D67B00"/>
    <w:rsid w:val="00E22DAB"/>
    <w:rsid w:val="00F02F8C"/>
    <w:rsid w:val="00F57D00"/>
    <w:rsid w:val="00FF6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721E0"/>
  <w15:docId w15:val="{48992368-0B40-4DD5-B93B-E94DBE24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022E"/>
    <w:pPr>
      <w:tabs>
        <w:tab w:val="center" w:pos="4513"/>
        <w:tab w:val="right" w:pos="9026"/>
      </w:tabs>
    </w:pPr>
  </w:style>
  <w:style w:type="character" w:customStyle="1" w:styleId="HeaderChar">
    <w:name w:val="Header Char"/>
    <w:basedOn w:val="DefaultParagraphFont"/>
    <w:link w:val="Header"/>
    <w:uiPriority w:val="99"/>
    <w:rsid w:val="0097022E"/>
  </w:style>
  <w:style w:type="paragraph" w:styleId="Footer">
    <w:name w:val="footer"/>
    <w:basedOn w:val="Normal"/>
    <w:link w:val="FooterChar"/>
    <w:uiPriority w:val="99"/>
    <w:unhideWhenUsed/>
    <w:rsid w:val="0097022E"/>
    <w:pPr>
      <w:tabs>
        <w:tab w:val="center" w:pos="4513"/>
        <w:tab w:val="right" w:pos="9026"/>
      </w:tabs>
    </w:pPr>
  </w:style>
  <w:style w:type="character" w:customStyle="1" w:styleId="FooterChar">
    <w:name w:val="Footer Char"/>
    <w:basedOn w:val="DefaultParagraphFont"/>
    <w:link w:val="Footer"/>
    <w:uiPriority w:val="99"/>
    <w:rsid w:val="00970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5449</Words>
  <Characters>31061</Characters>
  <Application>Microsoft Office Word</Application>
  <DocSecurity>0</DocSecurity>
  <Lines>258</Lines>
  <Paragraphs>72</Paragraphs>
  <ScaleCrop>false</ScaleCrop>
  <Company/>
  <LinksUpToDate>false</LinksUpToDate>
  <CharactersWithSpaces>36438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 K</cp:lastModifiedBy>
  <cp:revision>5</cp:revision>
  <dcterms:created xsi:type="dcterms:W3CDTF">2026-09-24T17:57:00Z</dcterms:created>
  <dcterms:modified xsi:type="dcterms:W3CDTF">2026-09-24T18:28:00Z</dcterms:modified>
</cp:coreProperties>
</file>