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rFonts w:ascii="Times New Roman" w:cs="Times New Roman" w:eastAsia="Times New Roman" w:hAnsi="Times New Roman"/>
          <w:b/>
          <w:bCs/>
          <w:sz w:val="32"/>
          <w:szCs w:val="32"/>
        </w:rPr>
        <w:t xml:space="preserve">CASE ANALYSIS REPORT</w:t>
      </w:r>
    </w:p>
    <w:p>
      <w:pPr>
        <w:spacing w:after="3600"/>
        <w:jc w:val="center"/>
      </w:pPr>
      <w:r>
        <w:rPr>
          <w:rFonts w:ascii="Times New Roman" w:cs="Times New Roman" w:eastAsia="Times New Roman" w:hAnsi="Times New Roman"/>
          <w:b/>
          <w:bCs/>
          <w:i/>
          <w:iCs/>
          <w:sz w:val="28"/>
          <w:szCs w:val="28"/>
        </w:rPr>
        <w:t xml:space="preserve">ICICI Bank Ltd v Shanti Devi Sharma &amp; Ors. (2008) 2 SCC 367</w:t>
      </w:r>
    </w:p>
    <w:p>
      <w:pPr>
        <w:spacing w:after="220"/>
        <w:jc w:val="center"/>
      </w:pPr>
      <w:r>
        <w:rPr>
          <w:rFonts w:ascii="Times New Roman" w:cs="Times New Roman" w:eastAsia="Times New Roman" w:hAnsi="Times New Roman"/>
          <w:sz w:val="24"/>
          <w:szCs w:val="24"/>
        </w:rPr>
        <w:t xml:space="preserve">Student Name: Manoj Kumar K</w:t>
      </w:r>
    </w:p>
    <w:p>
      <w:pPr>
        <w:spacing w:after="220"/>
        <w:jc w:val="center"/>
      </w:pPr>
      <w:r>
        <w:rPr>
          <w:rFonts w:ascii="Times New Roman" w:cs="Times New Roman" w:eastAsia="Times New Roman" w:hAnsi="Times New Roman"/>
          <w:sz w:val="24"/>
          <w:szCs w:val="24"/>
        </w:rPr>
        <w:t xml:space="preserve">Register Number: 5272510210</w:t>
      </w:r>
    </w:p>
    <w:p>
      <w:pPr>
        <w:spacing w:after="220"/>
        <w:jc w:val="center"/>
      </w:pPr>
      <w:r>
        <w:rPr>
          <w:rFonts w:ascii="Times New Roman" w:cs="Times New Roman" w:eastAsia="Times New Roman" w:hAnsi="Times New Roman"/>
          <w:sz w:val="24"/>
          <w:szCs w:val="24"/>
        </w:rPr>
        <w:t xml:space="preserve">Course: B.A., LL.B. — Banking Law</w:t>
      </w:r>
    </w:p>
    <w:p>
      <w:pPr>
        <w:spacing w:after="220"/>
        <w:jc w:val="center"/>
      </w:pPr>
      <w:r>
        <w:rPr>
          <w:rFonts w:ascii="Times New Roman" w:cs="Times New Roman" w:eastAsia="Times New Roman" w:hAnsi="Times New Roman"/>
          <w:sz w:val="24"/>
          <w:szCs w:val="24"/>
        </w:rPr>
        <w:t xml:space="preserve">Activity Title: Case Study 6 — ICICI Bank Ltd v Shanti Devi Sharma (2008)</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Times New Roman" w:cs="Times New Roman" w:eastAsia="Times New Roman" w:hAnsi="Times New Roman"/>
          <w:b/>
          <w:bCs/>
          <w:color w:val="000000"/>
          <w:sz w:val="28"/>
          <w:szCs w:val="28"/>
        </w:rPr>
        <w:t xml:space="preserve">1. Introduction</w:t>
      </w:r>
    </w:p>
    <w:p>
      <w:pPr>
        <w:pStyle w:val="Heading2"/>
        <w:spacing w:after="120" w:before="220"/>
      </w:pPr>
      <w:r>
        <w:rPr>
          <w:rFonts w:ascii="Times New Roman" w:cs="Times New Roman" w:eastAsia="Times New Roman" w:hAnsi="Times New Roman"/>
          <w:b/>
          <w:bCs/>
          <w:color w:val="000000"/>
          <w:sz w:val="24"/>
          <w:szCs w:val="24"/>
        </w:rPr>
        <w:t xml:space="preserve">1.1 Case Citation &amp; Jurisdiction</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Case Name: ICICI Bank Ltd v Shanti Devi Sharma &amp; Ors.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Citation: (2008) 2 SCC 367; Criminal Appeal No. 900 of 2008 [arising out of SLP (Crl.) No. 4935 of 2006]</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Court: Supreme Court of India</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Bench: Justice Dalveer Bhandari and Justice Tarun Chatterjee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Date of Judgment: 15 May 2008</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Prior Proceedings: High Court of Delhi, Writ Petition (Criminal) No. 576 of 2006, order dated 13 July 2006, and order dated 11 August 2006 in Crl. M.A. Nos. 8093-94 of 2006, both of which were challenged by the Bank before the Supreme Court.</w:t>
      </w:r>
    </w:p>
    <w:p>
      <w:pPr>
        <w:pStyle w:val="Heading2"/>
        <w:spacing w:after="120" w:before="220"/>
      </w:pPr>
      <w:r>
        <w:rPr>
          <w:rFonts w:ascii="Times New Roman" w:cs="Times New Roman" w:eastAsia="Times New Roman" w:hAnsi="Times New Roman"/>
          <w:b/>
          <w:bCs/>
          <w:color w:val="000000"/>
          <w:sz w:val="24"/>
          <w:szCs w:val="24"/>
        </w:rPr>
        <w:t xml:space="preserve">1.2 Brief Introduction to the Case</w:t>
      </w:r>
    </w:p>
    <w:p>
      <w:pPr>
        <w:spacing w:after="160" w:line="300"/>
        <w:jc w:val="both"/>
      </w:pPr>
      <w:r>
        <w:rPr>
          <w:rFonts w:ascii="Times New Roman" w:cs="Times New Roman" w:eastAsia="Times New Roman" w:hAnsi="Times New Roman"/>
          <w:sz w:val="24"/>
          <w:szCs w:val="24"/>
        </w:rPr>
        <w:t xml:space="preserve">ICICI Bank Ltd v Shanti Devi Sharma &amp; Ors. is a significant Indian Supreme Court decision on the conduct of banks and their recovery agents in the enforcement of loan and vehicle-financing agreements, and on the limits of judicial observations made while a criminal investigation is still in progress. The case arose after the son of the respondent, Shanti Devi Sharma, died by suicide on the same day that recovery agents employed by ICICI Bank forcibly repossessed his motorcycle and, according to the allegations in the First Information Report, humiliated him in front of his friends and neighbours over an overdue loan.</w:t>
      </w:r>
    </w:p>
    <w:p>
      <w:pPr>
        <w:spacing w:after="160" w:line="300"/>
        <w:jc w:val="both"/>
      </w:pPr>
      <w:r>
        <w:rPr>
          <w:rFonts w:ascii="Times New Roman" w:cs="Times New Roman" w:eastAsia="Times New Roman" w:hAnsi="Times New Roman"/>
          <w:sz w:val="24"/>
          <w:szCs w:val="24"/>
        </w:rPr>
        <w:t xml:space="preserve">The respondent filed a writ petition before the Delhi High Court seeking a direction to the police to investigate and act against the Bank, and the High Court, while monitoring the police investigation, made strong observations criticising the Bank's use of 'musclemen and goons' for loan recovery. The Bank, aggrieved by these observations, sought to have them expunged on the ground that the underlying facts were still unproven allegations and that the observations could prejudice a fair investigation. At its heart, the case asks how far a court supervising an ongoing criminal investigation should go in commenting on disputed facts, and it became, in the process, an important judicial statement on the standards financial institutions and their recovery agents must observe under Indian banking regulation.</w:t>
      </w:r>
    </w:p>
    <w:p>
      <w:pPr>
        <w:pStyle w:val="Heading1"/>
        <w:spacing w:after="160" w:before="320"/>
      </w:pPr>
      <w:r>
        <w:rPr>
          <w:rFonts w:ascii="Times New Roman" w:cs="Times New Roman" w:eastAsia="Times New Roman" w:hAnsi="Times New Roman"/>
          <w:b/>
          <w:bCs/>
          <w:color w:val="000000"/>
          <w:sz w:val="28"/>
          <w:szCs w:val="28"/>
        </w:rPr>
        <w:t xml:space="preserve">2. Facts of the Case</w:t>
      </w:r>
    </w:p>
    <w:p>
      <w:pPr>
        <w:pStyle w:val="Heading2"/>
        <w:spacing w:after="120" w:before="220"/>
      </w:pPr>
      <w:r>
        <w:rPr>
          <w:rFonts w:ascii="Times New Roman" w:cs="Times New Roman" w:eastAsia="Times New Roman" w:hAnsi="Times New Roman"/>
          <w:b/>
          <w:bCs/>
          <w:color w:val="000000"/>
          <w:sz w:val="24"/>
          <w:szCs w:val="24"/>
        </w:rPr>
        <w:t xml:space="preserve">2.1 Chronological Summary of Events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deceased, son of the respondent Shanti Devi Sharma, had taken a personal loan and a loan against a two-wheeler (motorcycle) from ICICI Bank, and had fallen into arrears on the repayments.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On 16 October 2005, at about 1:00 p.m., two recovery agents engaged by the Bank — described in the FIR as 'goons' — forcibly entered the deceased's bedroom and began harassing and humiliating him over the overdue loan payments.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According to the FIR, the recovery agents repossessed the motorcycle in the presence of the deceased's friends, who ridiculed him for having lost it; the deceased had also been using the motorcycle to transport vegetables for his small restaurant business.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After the repossession, the deceased had to carry vegetables for his business on his back, and members of his neighbourhood allegedly made snide and mocking comments upon seeing this.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deceased reportedly broke down before his wife and said he had never faced such humiliation and disgrace in his life; later that same day, while his wife was washing clothes, he went into an inner room and hanged himself.</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On 29 November 2005, the respondent lodged an FIR alleging that the conduct of the Bank's recovery agents had driven her son to suicide, and she subsequently filed Writ Petition (Criminal) No. 576 of 2006 before the Delhi High Court, seeking a writ of mandamus directing the Commissioner of Police to take action against the Bank.</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Delhi High Court directed the police to file status reports on the investigation; upon reviewing two such reports and finding them unsatisfactory, the High Court, by order dated 13 July 2006, directed the investigating officer to conclude the investigation expeditiously and take action against anyone found guilty of abetting the suicide.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In the same order, the High Court made pointed observations: that the vehicle had been repossessed by 'musclemen employed by ICICI Bank'; that the proximate cause of the deceased's death was humiliation caused by 'the Bank people'; and that the recovery methods used by banks such as ICICI were 'extra-legal', with banks not permitted to employ musclemen and goons for recovery even against a defaulting borrower.</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ICICI Bank, aggrieved by these observations, applied for impleadment and for clarification, deletion, or modification of the observations under Section 482 of the Code of Criminal Procedure, 1973, arguing that they were unjustified and unnecessary for deciding the case.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By order dated 11 August 2006, the High Court declined to expunge the observations, stating that it had made them consciously and saw no reason to expunge them, but clarified that any observations made against the Bank would not influence or affect any proceedings subsequently taken against the Bank or its employees.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ICICI Bank appealed to the Supreme Court, which granted leave and heard the matter as Criminal Appeal No. 900 of 2008, delivering its judgment on 15 May 2008.</w:t>
      </w:r>
    </w:p>
    <w:p>
      <w:pPr>
        <w:pStyle w:val="Heading2"/>
        <w:spacing w:after="120" w:before="220"/>
      </w:pPr>
      <w:r>
        <w:rPr>
          <w:rFonts w:ascii="Times New Roman" w:cs="Times New Roman" w:eastAsia="Times New Roman" w:hAnsi="Times New Roman"/>
          <w:b/>
          <w:bCs/>
          <w:color w:val="000000"/>
          <w:sz w:val="24"/>
          <w:szCs w:val="24"/>
        </w:rPr>
        <w:t xml:space="preserve">2.2 Material Commercial Context</w:t>
      </w:r>
    </w:p>
    <w:p>
      <w:pPr>
        <w:spacing w:after="160" w:line="300"/>
        <w:jc w:val="both"/>
      </w:pPr>
      <w:r>
        <w:rPr>
          <w:rFonts w:ascii="Times New Roman" w:cs="Times New Roman" w:eastAsia="Times New Roman" w:hAnsi="Times New Roman"/>
          <w:sz w:val="24"/>
          <w:szCs w:val="24"/>
        </w:rPr>
        <w:t xml:space="preserve">The underlying transaction was a pair of ordinary consumer lending arrangements — a personal loan and a vehicle loan against a two-wheeler — of the kind routinely extended by Indian banks and non-banking financial companies to individual borrowers, secured by the financed vehicle itself.</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Loan recovery and vehicle repossession upon default were, and remain, governed by a combination of statute and regulatory guidance, including the Securitisation and Reconstruction of Financial Assets and Enforcement of Security Interest Act, 2002 (SARFAESI), the Security Interest (Enforcement) Rules, 2002, and the Reserve Bank of India's Fair Practices Code for Lenders.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By the mid-2000s, Indian banks had come to rely heavily on third-party recovery agents to pursue defaulting borrowers and repossess financed vehicles, a practice that had already drawn regulatory concern over harassment, intimidation, and the use of forceful or humiliating tactics against borrowers.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This commercial backdrop — mass consumer lending combined with outsourced, loosely supervised recovery agents — is what gave the case its broader significance: the dispute was not simply about one family's tragedy, but about the standards that ought to govern an entire industry practice.</w:t>
      </w:r>
    </w:p>
    <w:p>
      <w:r>
        <w:br w:type="page"/>
      </w:r>
    </w:p>
    <w:p>
      <w:pPr>
        <w:pStyle w:val="Heading1"/>
        <w:spacing w:after="160" w:before="320"/>
      </w:pPr>
      <w:r>
        <w:rPr>
          <w:rFonts w:ascii="Times New Roman" w:cs="Times New Roman" w:eastAsia="Times New Roman" w:hAnsi="Times New Roman"/>
          <w:b/>
          <w:bCs/>
          <w:color w:val="000000"/>
          <w:sz w:val="28"/>
          <w:szCs w:val="28"/>
        </w:rPr>
        <w:t xml:space="preserve">3. Legal Issue</w:t>
      </w:r>
    </w:p>
    <w:p>
      <w:pPr>
        <w:pStyle w:val="Heading2"/>
        <w:spacing w:after="120" w:before="220"/>
      </w:pPr>
      <w:r>
        <w:rPr>
          <w:rFonts w:ascii="Times New Roman" w:cs="Times New Roman" w:eastAsia="Times New Roman" w:hAnsi="Times New Roman"/>
          <w:b/>
          <w:bCs/>
          <w:color w:val="000000"/>
          <w:sz w:val="24"/>
          <w:szCs w:val="24"/>
        </w:rPr>
        <w:t xml:space="preserve">3.1 Primary Question of Law</w:t>
      </w:r>
    </w:p>
    <w:p>
      <w:pPr>
        <w:spacing w:after="160" w:line="300"/>
        <w:jc w:val="both"/>
      </w:pPr>
      <w:r>
        <w:rPr>
          <w:rFonts w:ascii="Times New Roman" w:cs="Times New Roman" w:eastAsia="Times New Roman" w:hAnsi="Times New Roman"/>
          <w:sz w:val="24"/>
          <w:szCs w:val="24"/>
        </w:rPr>
        <w:t xml:space="preserve">Whether the observations made by the Delhi High Court in its order dated 13 July 2006 — attributing the deceased's death to humiliation caused by the Bank's recovery agents and characterising the Bank's recovery methods as 'extra-legal' — should be expunged from the record, given that they were made while the underlying facts remained unproven allegations and the criminal investigation into the matter was still ongoing.</w:t>
      </w:r>
    </w:p>
    <w:p>
      <w:pPr>
        <w:spacing w:after="160" w:line="300"/>
        <w:jc w:val="both"/>
      </w:pPr>
      <w:r>
        <w:rPr>
          <w:rFonts w:ascii="Times New Roman" w:cs="Times New Roman" w:eastAsia="Times New Roman" w:hAnsi="Times New Roman"/>
          <w:sz w:val="24"/>
          <w:szCs w:val="24"/>
        </w:rPr>
        <w:t xml:space="preserve">This primary question resolved itself, before the Supreme Court, into three distinct sub-issues: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Whether a court monitoring an ongoing criminal investigation may make substantive observations on disputed facts drawn from an FIR and a complaint, before those facts have been established through investigation or trial.</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Whether the High Court's subsequent clarification — that its observations would not influence or affect any proceedings against the Bank — was sufficient to remedy any prejudice, or whether outright expungement of the observations was necessary.</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Whether, independent of the narrow procedural question, the conduct alleged against the Bank's recovery agents raised broader concerns about the standards banks and financial institutions must observe when recovering loans and repossessing secured assets.</w:t>
      </w:r>
    </w:p>
    <w:p>
      <w:pPr>
        <w:pStyle w:val="Heading2"/>
        <w:spacing w:after="120" w:before="220"/>
      </w:pPr>
      <w:r>
        <w:rPr>
          <w:rFonts w:ascii="Times New Roman" w:cs="Times New Roman" w:eastAsia="Times New Roman" w:hAnsi="Times New Roman"/>
          <w:b/>
          <w:bCs/>
          <w:color w:val="000000"/>
          <w:sz w:val="24"/>
          <w:szCs w:val="24"/>
        </w:rPr>
        <w:t xml:space="preserve">3.2 Points of Contention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pct" w:w="5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Party</w:t>
            </w:r>
          </w:p>
        </w:tc>
        <w:tc>
          <w:tcPr>
            <w:tcW w:type="pct" w:w="5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Argument</w:t>
            </w:r>
          </w:p>
        </w:tc>
      </w:tr>
      <w:tr>
        <w:tc>
          <w:tcPr>
            <w:tcW w:type="pct" w:w="50%"/>
            <w:tcMar>
              <w:top w:type="dxa" w:w="100"/>
              <w:left w:type="dxa" w:w="120"/>
              <w:bottom w:type="dxa" w:w="100"/>
              <w:right w:type="dxa" w:w="120"/>
            </w:tcMar>
          </w:tcPr>
          <w:p>
            <w:pPr>
              <w:jc w:val="both"/>
            </w:pPr>
            <w:r>
              <w:rPr>
                <w:rFonts w:ascii="Times New Roman" w:cs="Times New Roman" w:eastAsia="Times New Roman" w:hAnsi="Times New Roman"/>
                <w:b/>
                <w:bCs/>
                <w:sz w:val="24"/>
                <w:szCs w:val="24"/>
              </w:rPr>
              <w:t xml:space="preserve">ICICI Bank Ltd (Appellant)</w:t>
            </w:r>
          </w:p>
        </w:tc>
        <w:tc>
          <w:tcPr>
            <w:tcW w:type="pct" w:w="50%"/>
            <w:tcMar>
              <w:top w:type="dxa" w:w="100"/>
              <w:left w:type="dxa" w:w="120"/>
              <w:bottom w:type="dxa" w:w="100"/>
              <w:right w:type="dxa" w:w="120"/>
            </w:tcMar>
          </w:tcPr>
          <w:p>
            <w:pPr>
              <w:jc w:val="both"/>
            </w:pPr>
            <w:r>
              <w:rPr>
                <w:rFonts w:ascii="Times New Roman" w:cs="Times New Roman" w:eastAsia="Times New Roman" w:hAnsi="Times New Roman"/>
                <w:b w:val="false"/>
                <w:bCs w:val="false"/>
                <w:sz w:val="24"/>
                <w:szCs w:val="24"/>
              </w:rPr>
              <w:t xml:space="preserve">The High Court's observations in paragraphs 1, 3, and 4 — that the vehicle was repossessed by 'musclemen' employed by the Bank, that the proximate cause of death was humiliation by 'Bank people', and that the Bank's recovery methods were 'extra-legal' — were made while the criminal investigation was still ongoing and the underlying facts remained unproven allegations from an FIR; such findings were unjustified, unnecessary for deciding the narrow question before the High Court, and risked prejudicing a fair and impartial investigation. The Bank sought expungement of these paragraphs under Section 482 of the Code of Criminal Procedure, 1973.</w:t>
            </w:r>
          </w:p>
        </w:tc>
      </w:tr>
      <w:tr>
        <w:tc>
          <w:tcPr>
            <w:tcW w:type="pct" w:w="50%"/>
            <w:tcMar>
              <w:top w:type="dxa" w:w="100"/>
              <w:left w:type="dxa" w:w="120"/>
              <w:bottom w:type="dxa" w:w="100"/>
              <w:right w:type="dxa" w:w="120"/>
            </w:tcMar>
          </w:tcPr>
          <w:p>
            <w:pPr>
              <w:jc w:val="both"/>
            </w:pPr>
            <w:r>
              <w:rPr>
                <w:rFonts w:ascii="Times New Roman" w:cs="Times New Roman" w:eastAsia="Times New Roman" w:hAnsi="Times New Roman"/>
                <w:b/>
                <w:bCs/>
                <w:sz w:val="24"/>
                <w:szCs w:val="24"/>
              </w:rPr>
              <w:t xml:space="preserve">Respondents / High Court's Position</w:t>
            </w:r>
          </w:p>
        </w:tc>
        <w:tc>
          <w:tcPr>
            <w:tcW w:type="pct" w:w="50%"/>
            <w:tcMar>
              <w:top w:type="dxa" w:w="100"/>
              <w:left w:type="dxa" w:w="120"/>
              <w:bottom w:type="dxa" w:w="100"/>
              <w:right w:type="dxa" w:w="120"/>
            </w:tcMar>
          </w:tcPr>
          <w:p>
            <w:pPr>
              <w:jc w:val="both"/>
            </w:pPr>
            <w:r>
              <w:rPr>
                <w:rFonts w:ascii="Times New Roman" w:cs="Times New Roman" w:eastAsia="Times New Roman" w:hAnsi="Times New Roman"/>
                <w:b w:val="false"/>
                <w:bCs w:val="false"/>
                <w:sz w:val="24"/>
                <w:szCs w:val="24"/>
              </w:rPr>
              <w:t xml:space="preserve">The High Court had made the observations consciously, after reviewing two police status reports that it found unsatisfactory, and the observations reflected legitimate concern over the conduct of recovery agents rather than a premature finding of guilt against the Bank; having already clarified that the observations would not influence or affect any proceedings against the Bank or its employees, no further relief by way of expungement was warranted, since the clarification adequately protected the Bank's interest in a fair investigation.</w:t>
            </w:r>
          </w:p>
        </w:tc>
      </w:tr>
    </w:tbl>
    <w:p>
      <w:pPr>
        <w:pStyle w:val="Heading1"/>
        <w:spacing w:after="160" w:before="320"/>
      </w:pPr>
      <w:r>
        <w:rPr>
          <w:rFonts w:ascii="Times New Roman" w:cs="Times New Roman" w:eastAsia="Times New Roman" w:hAnsi="Times New Roman"/>
          <w:b/>
          <w:bCs/>
          <w:color w:val="000000"/>
          <w:sz w:val="28"/>
          <w:szCs w:val="28"/>
        </w:rPr>
        <w:t xml:space="preserve">4. Judgment</w:t>
      </w:r>
    </w:p>
    <w:p>
      <w:pPr>
        <w:pStyle w:val="Heading2"/>
        <w:spacing w:after="120" w:before="220"/>
      </w:pPr>
      <w:r>
        <w:rPr>
          <w:rFonts w:ascii="Times New Roman" w:cs="Times New Roman" w:eastAsia="Times New Roman" w:hAnsi="Times New Roman"/>
          <w:b/>
          <w:bCs/>
          <w:color w:val="000000"/>
          <w:sz w:val="24"/>
          <w:szCs w:val="24"/>
        </w:rPr>
        <w:t xml:space="preserve">4.1 Court's Decision</w:t>
      </w:r>
    </w:p>
    <w:p>
      <w:pPr>
        <w:spacing w:after="160" w:line="300"/>
        <w:jc w:val="both"/>
      </w:pPr>
      <w:r>
        <w:rPr>
          <w:rFonts w:ascii="Times New Roman" w:cs="Times New Roman" w:eastAsia="Times New Roman" w:hAnsi="Times New Roman"/>
          <w:sz w:val="24"/>
          <w:szCs w:val="24"/>
        </w:rPr>
        <w:t xml:space="preserve">The Supreme Court declined to expunge the High Court's observations, holding that the High Court's clarification — that the observations would not influence or affect any proceedings against the Bank or its employees — adequately addressed the Bank's concerns, and that the Bank had not been substantially aggrieved. The Court reiterated that the observations would have no bearing on the ongoing investigation, directed that the investigation be concluded within three months with a report to be submitted to the High Court, and ordered the Bank to pay costs of Rs 25,000 to the respondents within three weeks. The appeal was disposed of on these terms.</w:t>
      </w:r>
    </w:p>
    <w:p>
      <w:pPr>
        <w:pStyle w:val="Heading2"/>
        <w:spacing w:after="120" w:before="220"/>
      </w:pPr>
      <w:r>
        <w:rPr>
          <w:rFonts w:ascii="Times New Roman" w:cs="Times New Roman" w:eastAsia="Times New Roman" w:hAnsi="Times New Roman"/>
          <w:b/>
          <w:bCs/>
          <w:color w:val="000000"/>
          <w:sz w:val="24"/>
          <w:szCs w:val="24"/>
        </w:rPr>
        <w:t xml:space="preserve">4.2 Ratio Decidendi (Judicial Reasoning)</w:t>
      </w:r>
    </w:p>
    <w:p>
      <w:pPr>
        <w:spacing w:after="160" w:line="300"/>
        <w:jc w:val="both"/>
      </w:pPr>
      <w:r>
        <w:rPr>
          <w:rFonts w:ascii="Times New Roman" w:cs="Times New Roman" w:eastAsia="Times New Roman" w:hAnsi="Times New Roman"/>
          <w:sz w:val="24"/>
          <w:szCs w:val="24"/>
        </w:rPr>
        <w:t xml:space="preserve">Delivering the judgment, Bhandari J. developed several connected strands of reasoning that together form the ratio decidendi of the case: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Clarification can be as effective as expungement: The Court reasoned that once the High Court had clarified that its observations would not influence or affect any subsequent proceedings against the Bank, no one could any longer rely on those observations to prejudice the Bank; expunging the paragraphs outright would not have produced any materially different practical protection for the Bank.</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Observations drawn from a complaint should be understood as allegations: The Court noted that the High Court's references were drawn from the complaint and FIR, and that, properly read in context, such references ought to be understood as allegations rather than established facts, even though the High Court could have been more explicit in framing them that way.</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ongoing investigation must proceed independently of the observations: The Supreme Court held that neither the High Court's order nor its own observations were to influence the ongoing police investigation in any way, other than the direction as to the time within which it must be completed, preserving the integrity of the fact-finding process.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 reminder on the rule of law for financial institutions: Notwithstanding its narrow procedural holding, the Court used the occasion to remind banks and financial institutions that the recovery of loans and repossession of secured vehicles must be carried out strictly through lawful means, and that the use of musclemen or coercive tactics has no place in a country governed by the rule of law.</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Regulatory framework reaffirmed: The Court referred extensively to the SARFAESI Act, the Security Interest (Enforcement) Rules, 2002, the RBI's Fair Practices Code for Lenders (2003), the updated RBI guidelines on recovery agents (2008), and the Code of Bank's Commitment to Customers, holding that banks are responsible as principals for the conduct of the recovery agents they engage and must ensure those agents adhere to these standards.</w:t>
      </w:r>
    </w:p>
    <w:p>
      <w:pPr>
        <w:pBdr>
          <w:left w:val="single" w:color="888888" w:sz="12" w:space="12"/>
        </w:pBdr>
        <w:spacing w:after="120" w:before="120" w:line="290"/>
        <w:ind w:left="500" w:right="500"/>
      </w:pPr>
      <w:r>
        <w:rPr>
          <w:rFonts w:ascii="Times New Roman" w:cs="Times New Roman" w:eastAsia="Times New Roman" w:hAnsi="Times New Roman"/>
          <w:i/>
          <w:iCs/>
          <w:sz w:val="24"/>
          <w:szCs w:val="24"/>
        </w:rPr>
        <w:t xml:space="preserve">"The recovery of loans or seizure of vehicles can only be done through legal means."</w:t>
      </w:r>
      <w:r>
        <w:rPr>
          <w:rFonts w:ascii="Times New Roman" w:cs="Times New Roman" w:eastAsia="Times New Roman" w:hAnsi="Times New Roman"/>
          <w:b/>
          <w:bCs/>
          <w:i/>
          <w:iCs/>
          <w:sz w:val="24"/>
          <w:szCs w:val="24"/>
        </w:rPr>
        <w:t xml:space="preserve"> — Dalveer Bhandari, J.</w:t>
      </w:r>
    </w:p>
    <w:p>
      <w:pPr>
        <w:pBdr>
          <w:left w:val="single" w:color="888888" w:sz="12" w:space="12"/>
        </w:pBdr>
        <w:spacing w:after="120" w:before="120" w:line="290"/>
        <w:ind w:left="500" w:right="500"/>
      </w:pPr>
      <w:r>
        <w:rPr>
          <w:rFonts w:ascii="Times New Roman" w:cs="Times New Roman" w:eastAsia="Times New Roman" w:hAnsi="Times New Roman"/>
          <w:i/>
          <w:iCs/>
          <w:sz w:val="24"/>
          <w:szCs w:val="24"/>
        </w:rPr>
        <w:t xml:space="preserve">"We live in a civilised country and are governed by the rule of law."</w:t>
      </w:r>
      <w:r>
        <w:rPr>
          <w:rFonts w:ascii="Times New Roman" w:cs="Times New Roman" w:eastAsia="Times New Roman" w:hAnsi="Times New Roman"/>
          <w:b/>
          <w:bCs/>
          <w:i/>
          <w:iCs/>
          <w:sz w:val="24"/>
          <w:szCs w:val="24"/>
        </w:rPr>
        <w:t xml:space="preserve"> — Dalveer Bhandari, J.</w:t>
      </w:r>
    </w:p>
    <w:p>
      <w:pPr>
        <w:pStyle w:val="Heading1"/>
        <w:spacing w:after="160" w:before="320"/>
      </w:pPr>
      <w:r>
        <w:rPr>
          <w:rFonts w:ascii="Times New Roman" w:cs="Times New Roman" w:eastAsia="Times New Roman" w:hAnsi="Times New Roman"/>
          <w:b/>
          <w:bCs/>
          <w:color w:val="000000"/>
          <w:sz w:val="28"/>
          <w:szCs w:val="28"/>
        </w:rPr>
        <w:t xml:space="preserve">5. Legal Principle: Banking Recovery Practices and Accountability</w:t>
      </w:r>
    </w:p>
    <w:p>
      <w:pPr>
        <w:spacing w:after="160" w:line="300"/>
        <w:jc w:val="both"/>
      </w:pPr>
      <w:r>
        <w:rPr>
          <w:rFonts w:ascii="Times New Roman" w:cs="Times New Roman" w:eastAsia="Times New Roman" w:hAnsi="Times New Roman"/>
          <w:sz w:val="24"/>
          <w:szCs w:val="24"/>
        </w:rPr>
        <w:t xml:space="preserve">This section breaks down the key legal principle established in ICICI Bank v Shanti Devi Sharma by examining the accountability of banks for their recovery agents, the judicial approach to observations made during a pending investigation, and the regulatory framework governing loan recovery in India.</w:t>
      </w:r>
    </w:p>
    <w:p>
      <w:pPr>
        <w:pStyle w:val="Heading2"/>
        <w:spacing w:after="120" w:before="220"/>
      </w:pPr>
      <w:r>
        <w:rPr>
          <w:rFonts w:ascii="Times New Roman" w:cs="Times New Roman" w:eastAsia="Times New Roman" w:hAnsi="Times New Roman"/>
          <w:b/>
          <w:bCs/>
          <w:color w:val="000000"/>
          <w:sz w:val="24"/>
          <w:szCs w:val="24"/>
        </w:rPr>
        <w:t xml:space="preserve">5.1 Evaluation of Bank Accountability for Recovery Agents</w:t>
      </w:r>
    </w:p>
    <w:p>
      <w:pPr>
        <w:spacing w:after="160" w:line="300"/>
        <w:jc w:val="both"/>
      </w:pPr>
      <w:r>
        <w:rPr>
          <w:rFonts w:ascii="Times New Roman" w:cs="Times New Roman" w:eastAsia="Times New Roman" w:hAnsi="Times New Roman"/>
          <w:sz w:val="24"/>
          <w:szCs w:val="24"/>
        </w:rPr>
        <w:t xml:space="preserve">A foundational question raised by the case is the extent to which a bank can be held responsible for the conduct of the third-party agents it engages to recover defaulted loans.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Supreme Court treated banks as principals answerable for the actions of their recovery agents, holding that banks must ensure agents strictly adhere to the RBI's Fair Practices Code, the BCSBI Code, and related guidelines while engaged in the recovery process.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This principle of accountability does not depend on proof that the bank directly instructed or authorised any particular act of harassment; rather, it rests on the bank's responsibility, as the principal engaging the agent, to ensure the agent's conduct remains within lawful and humane bounds throughout the recovery process.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Court's reasoning reflects a broader regulatory trend, evident in the RBI's guidelines, of holding banks — rather than only the individual recovery agents involved — primarily responsible for ensuring fair and lawful conduct during the recovery of dues.</w:t>
      </w:r>
    </w:p>
    <w:p>
      <w:pPr>
        <w:pStyle w:val="Heading2"/>
        <w:spacing w:after="120" w:before="220"/>
      </w:pPr>
      <w:r>
        <w:rPr>
          <w:rFonts w:ascii="Times New Roman" w:cs="Times New Roman" w:eastAsia="Times New Roman" w:hAnsi="Times New Roman"/>
          <w:b/>
          <w:bCs/>
          <w:color w:val="000000"/>
          <w:sz w:val="24"/>
          <w:szCs w:val="24"/>
        </w:rPr>
        <w:t xml:space="preserve">5.2 Mechanics of Judicial Restraint: Observations During a Pending Investigation</w:t>
      </w:r>
    </w:p>
    <w:p>
      <w:pPr>
        <w:spacing w:after="160" w:line="300"/>
        <w:jc w:val="both"/>
      </w:pPr>
      <w:r>
        <w:rPr>
          <w:rFonts w:ascii="Times New Roman" w:cs="Times New Roman" w:eastAsia="Times New Roman" w:hAnsi="Times New Roman"/>
          <w:sz w:val="24"/>
          <w:szCs w:val="24"/>
        </w:rPr>
        <w:t xml:space="preserve">A significant part of the Court's reasoning concerned the proper limits of judicial commentary on disputed facts while a criminal investigation is still ongoing.</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Court accepted that a High Court, in the exercise of its supervisory jurisdiction over an investigation, may comment on the material before it, but should take care to frame such comments as allegations rather than established findings, particularly where the underlying facts are drawn from an FIR or complaint that has not yet been tested.</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Rather than treating expungement as the only adequate remedy for an aggrieved party, the Court held that a clear judicial clarification — that the observations will not influence or affect any subsequent proceedings — can achieve the same practical protection, since no party can thereafter rely on the observations to prejudice the person concerned.</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This approach balances two competing interests: the public and judicial interest in a court being able to comment on matters properly before it while monitoring an investigation, and the fairness interest of a party who has not yet had the opportunity to contest the underlying allegations in a proper forum.</w:t>
      </w:r>
    </w:p>
    <w:p>
      <w:pPr>
        <w:pStyle w:val="Heading2"/>
        <w:spacing w:after="120" w:before="220"/>
      </w:pPr>
      <w:r>
        <w:rPr>
          <w:rFonts w:ascii="Times New Roman" w:cs="Times New Roman" w:eastAsia="Times New Roman" w:hAnsi="Times New Roman"/>
          <w:b/>
          <w:bCs/>
          <w:color w:val="000000"/>
          <w:sz w:val="24"/>
          <w:szCs w:val="24"/>
        </w:rPr>
        <w:t xml:space="preserve">5.3 Ancillary Regulatory Pillars: SARFAESI, RBI Guidelines, and the BCSBI Code</w:t>
      </w:r>
    </w:p>
    <w:p>
      <w:pPr>
        <w:spacing w:after="160" w:line="300"/>
        <w:jc w:val="both"/>
      </w:pPr>
      <w:r>
        <w:rPr>
          <w:rFonts w:ascii="Times New Roman" w:cs="Times New Roman" w:eastAsia="Times New Roman" w:hAnsi="Times New Roman"/>
          <w:sz w:val="24"/>
          <w:szCs w:val="24"/>
        </w:rPr>
        <w:t xml:space="preserve">Beyond the immediate dispute, the judgment situates the conduct of recovery agents within a broader regulatory architecture that continues to govern loan recovery in India.</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SARFAESI Act, 2002, together with the Security Interest (Enforcement) Rules, 2002, provides banks a statutory mechanism to recover secured debts and repossess secured assets without approaching a court in the first instance, but this mechanism does not dispense with the requirement of lawful conduct in its exercise.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RBI's Fair Practices Code for Lenders (2003) expressly prohibits undue harassment of borrowers, including persistent contact at odd hours and the use of muscle power for recovery of loans, while the more comprehensive 2008 guidelines on recovery agents extended these protections and incorporated the BCSBI Code's detailed standards on the time, place, and manner of contact with borrowers.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BCSBI Code sets out specific behavioural standards for recovery staff and agents, including respecting the borrower's privacy, maintaining civility, avoiding inappropriate hours or occasions for collection visits, and documenting the time and content of interactions — standards squarely at odds with the forcible, humiliating conduct alleged in this case.</w:t>
      </w:r>
    </w:p>
    <w:p>
      <w:pPr>
        <w:spacing w:after="160" w:line="300"/>
        <w:jc w:val="both"/>
      </w:pPr>
      <w:r>
        <w:rPr>
          <w:rFonts w:ascii="Times New Roman" w:cs="Times New Roman" w:eastAsia="Times New Roman" w:hAnsi="Times New Roman"/>
          <w:sz w:val="24"/>
          <w:szCs w:val="24"/>
        </w:rPr>
        <w:t xml:space="preserve">Taken together, these regulatory pillars, reaffirmed and reinforced by the Supreme Court's judgment, establish that lawful and humane conduct in loan recovery is not a matter of best practice alone but a binding regulatory expectation, breach of which exposes both recovery agents and the banks that engage them to serious legal and reputational consequences.</w:t>
      </w:r>
    </w:p>
    <w:p>
      <w:pPr>
        <w:pStyle w:val="Heading1"/>
        <w:spacing w:after="160" w:before="320"/>
      </w:pPr>
      <w:r>
        <w:rPr>
          <w:rFonts w:ascii="Times New Roman" w:cs="Times New Roman" w:eastAsia="Times New Roman" w:hAnsi="Times New Roman"/>
          <w:b/>
          <w:bCs/>
          <w:color w:val="000000"/>
          <w:sz w:val="28"/>
          <w:szCs w:val="28"/>
        </w:rPr>
        <w:t xml:space="preserve">6. Business Relevance</w:t>
      </w:r>
    </w:p>
    <w:p>
      <w:pPr>
        <w:pStyle w:val="Heading2"/>
        <w:spacing w:after="120" w:before="220"/>
      </w:pPr>
      <w:r>
        <w:rPr>
          <w:rFonts w:ascii="Times New Roman" w:cs="Times New Roman" w:eastAsia="Times New Roman" w:hAnsi="Times New Roman"/>
          <w:b/>
          <w:bCs/>
          <w:color w:val="000000"/>
          <w:sz w:val="24"/>
          <w:szCs w:val="24"/>
        </w:rPr>
        <w:t xml:space="preserve">6.1 Application in Modern Business</w:t>
      </w:r>
    </w:p>
    <w:p>
      <w:pPr>
        <w:spacing w:after="160" w:line="300"/>
        <w:jc w:val="both"/>
      </w:pPr>
      <w:r>
        <w:rPr>
          <w:rFonts w:ascii="Times New Roman" w:cs="Times New Roman" w:eastAsia="Times New Roman" w:hAnsi="Times New Roman"/>
          <w:sz w:val="24"/>
          <w:szCs w:val="24"/>
        </w:rPr>
        <w:t xml:space="preserve">Although decided in 2008, ICICI Bank v Shanti Devi Sharma continues to shape how banks, non-banking financial companies, and fintech lenders structure and supervise their recovery operations in India:</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Retail and vehicle lending: Banks and NBFCs financing vehicles and consumer durables continue to rely on the standards reaffirmed in this case when designing repossession protocols, particularly around the time, manner, and conduct of recovery visits.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Third-party recovery agencies and fintech collections: The principle that a bank remains responsible, as principal, for the conduct of its recovery agents applies with equal force to modern outsourced collections agencies and digital lending platforms that engage third parties or algorithm-driven contact systems to pursue overdue borrowers.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Reputational risk management: The judgment's citation of the RBI's own concern about adverse publicity and reputational risk from recovery-agent litigation underscores why banks now invest heavily in agent training, monitoring, and complaint-redressal mechanisms as a matter of commercial self-interest, not merely legal compliance.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Litigation and regulatory exposure: The case illustrates how a single instance of agent misconduct can escalate into High Court and Supreme Court litigation, regulatory scrutiny, and a damages or costs order, making robust internal compliance a direct cost-saving measure for lending institutions.</w:t>
      </w:r>
    </w:p>
    <w:p>
      <w:pPr>
        <w:pStyle w:val="Heading2"/>
        <w:spacing w:after="120" w:before="220"/>
      </w:pPr>
      <w:r>
        <w:rPr>
          <w:rFonts w:ascii="Times New Roman" w:cs="Times New Roman" w:eastAsia="Times New Roman" w:hAnsi="Times New Roman"/>
          <w:b/>
          <w:bCs/>
          <w:color w:val="000000"/>
          <w:sz w:val="24"/>
          <w:szCs w:val="24"/>
        </w:rPr>
        <w:t xml:space="preserve">6.2 Risk Management &amp; Operational Compliance</w:t>
      </w:r>
    </w:p>
    <w:p>
      <w:pPr>
        <w:spacing w:after="160" w:line="300"/>
        <w:jc w:val="both"/>
      </w:pPr>
      <w:r>
        <w:rPr>
          <w:rFonts w:ascii="Times New Roman" w:cs="Times New Roman" w:eastAsia="Times New Roman" w:hAnsi="Times New Roman"/>
          <w:sz w:val="24"/>
          <w:szCs w:val="24"/>
        </w:rPr>
        <w:t xml:space="preserve">The judgment offers several enduring, practical lessons for banks, NBFCs, and other lenders managing recovery operations: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Vet and train recovery agents rigorously. Since banks are treated as principals answerable for their agents' conduct, lenders should ensure agents are properly trained on, and contractually bound to, the RBI's Fair Practices Code and the BCSBI Code before being deployed for recovery.</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Restrict the time, place, and manner of recovery contact. Guidance reaffirmed in this case — contacting borrowers at reasonable hours, respecting privacy, avoiding inappropriate occasions, and maintaining civility and decorum — should be built into standard operating procedures for all recovery visits and calls.</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Document all recovery interactions. The BCSBI Code's requirement to document the time, number of calls, and content of conversations with borrowers provides both an accountability mechanism and a defence against unfounded allegations of harassment.</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Use lawful recovery mechanisms. Lenders should rely on the statutory mechanisms available under SARFAESI and related rules, and avoid any recovery practice that could be characterised as extra-legal, coercive, or reliant on intimidation.</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Respond promptly and transparently to complaints. Given the RBI's power to restrict a bank's use of recovery agents in response to persistent violations, banks should treat borrower complaints about recovery conduct as a serious compliance matter requiring prompt investigation and corrective action.</w:t>
      </w:r>
    </w:p>
    <w:p>
      <w:r>
        <w:br w:type="page"/>
      </w:r>
    </w:p>
    <w:p>
      <w:pPr>
        <w:pStyle w:val="Heading1"/>
        <w:spacing w:after="160" w:before="320"/>
      </w:pPr>
      <w:r>
        <w:rPr>
          <w:rFonts w:ascii="Times New Roman" w:cs="Times New Roman" w:eastAsia="Times New Roman" w:hAnsi="Times New Roman"/>
          <w:b/>
          <w:bCs/>
          <w:color w:val="000000"/>
          <w:sz w:val="28"/>
          <w:szCs w:val="28"/>
        </w:rPr>
        <w:t xml:space="preserve">7. Conclusion</w:t>
      </w:r>
    </w:p>
    <w:p>
      <w:pPr>
        <w:pStyle w:val="Heading2"/>
        <w:spacing w:after="120" w:before="220"/>
      </w:pPr>
      <w:r>
        <w:rPr>
          <w:rFonts w:ascii="Times New Roman" w:cs="Times New Roman" w:eastAsia="Times New Roman" w:hAnsi="Times New Roman"/>
          <w:b/>
          <w:bCs/>
          <w:color w:val="000000"/>
          <w:sz w:val="24"/>
          <w:szCs w:val="24"/>
        </w:rPr>
        <w:t xml:space="preserve">7.1 Personal Learning and Observations</w:t>
      </w:r>
    </w:p>
    <w:p>
      <w:pPr>
        <w:spacing w:after="160" w:line="300"/>
        <w:jc w:val="both"/>
      </w:pPr>
      <w:r>
        <w:rPr>
          <w:rFonts w:ascii="Times New Roman" w:cs="Times New Roman" w:eastAsia="Times New Roman" w:hAnsi="Times New Roman"/>
          <w:sz w:val="24"/>
          <w:szCs w:val="24"/>
        </w:rPr>
        <w:t xml:space="preserve">ICICI Bank v Shanti Devi Sharma endures as an instructive case not because of the narrow procedural question it technically decided, but because the Supreme Court used a tragic set of facts to reaffirm the standards of lawful conduct expected of banks and their recovery agents in India.</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judgment demonstrates how a court can resolve a procedural dispute over judicial observations — expungement versus clarification — through a pragmatic assessment of what actually protects the aggrieved party, rather than through a rigid or purely formal rule.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A key observation is how the Supreme Court used its narrow holding as an opportunity to speak more broadly to an entire industry, referencing statutory provisions, regulatory guidelines, and codes of conduct well beyond what was strictly necessary to dispose of the appeal, reflecting the Court's concern about a pattern of recovery-agent misconduct extending far beyond the facts of this single case.</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case also illustrates the tension between a court's supervisory role over an ongoing investigation and the fairness owed to a party whose conduct is described in strong terms before the underlying facts have been established — a tension the Court resolved by insisting that such observations, however forcefully worded, must not be treated as findings capable of prejudicing a fair investigation.</w:t>
      </w:r>
    </w:p>
    <w:p>
      <w:pPr>
        <w:pStyle w:val="ListParagraph"/>
        <w:numPr>
          <w:ilvl w:val="0"/>
          <w:numId w:val="2"/>
        </w:numPr>
        <w:spacing w:after="100" w:line="290"/>
        <w:jc w:val="both"/>
      </w:pPr>
      <w:r>
        <w:rPr>
          <w:rFonts w:ascii="Times New Roman" w:cs="Times New Roman" w:eastAsia="Times New Roman" w:hAnsi="Times New Roman"/>
          <w:sz w:val="24"/>
          <w:szCs w:val="24"/>
        </w:rPr>
        <w:t xml:space="preserve">The judgment's enduring legacy lies less in its specific procedural outcome and more in its reaffirmation that banks are principals responsible for their recovery agents' conduct, and that the recovery of loans, however legitimate the underlying debt, must always be pursued through lawful and humane means.</w:t>
      </w:r>
    </w:p>
    <w:p>
      <w:pPr>
        <w:spacing w:after="160" w:line="300"/>
        <w:jc w:val="both"/>
      </w:pPr>
      <w:r>
        <w:rPr>
          <w:rFonts w:ascii="Times New Roman" w:cs="Times New Roman" w:eastAsia="Times New Roman" w:hAnsi="Times New Roman"/>
          <w:sz w:val="24"/>
          <w:szCs w:val="24"/>
        </w:rPr>
        <w:t xml:space="preserve">For any student or practitioner of banking and financial regulation, ICICI Bank v Shanti Devi Sharma offers a compact but complete illustration of how India's courts balance procedural fairness in ongoing investigations against the broader public interest in holding powerful financial institutions accountable for the conduct of those who act on their behalf.</w:t>
      </w:r>
    </w:p>
    <w:p>
      <w:pPr>
        <w:pStyle w:val="Heading2"/>
        <w:spacing w:after="120" w:before="220"/>
      </w:pPr>
      <w:r>
        <w:rPr>
          <w:rFonts w:ascii="Times New Roman" w:cs="Times New Roman" w:eastAsia="Times New Roman" w:hAnsi="Times New Roman"/>
          <w:b/>
          <w:bCs/>
          <w:color w:val="000000"/>
          <w:sz w:val="24"/>
          <w:szCs w:val="24"/>
        </w:rPr>
        <w:t xml:space="preserve">IRAC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pct" w:w="2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Element</w:t>
            </w:r>
          </w:p>
        </w:tc>
        <w:tc>
          <w:tcPr>
            <w:tcW w:type="pct" w:w="2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Application to ICICI Bank v Shanti Devi Sharma</w:t>
            </w:r>
          </w:p>
        </w:tc>
      </w:tr>
      <w:tr>
        <w:tc>
          <w:tcPr>
            <w:tcW w:type="pct" w:w="2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Issue</w:t>
            </w:r>
          </w:p>
        </w:tc>
        <w:tc>
          <w:tcPr>
            <w:tcW w:type="pct" w:w="80%"/>
            <w:tcMar>
              <w:top w:type="dxa" w:w="100"/>
              <w:left w:type="dxa" w:w="120"/>
              <w:bottom w:type="dxa" w:w="100"/>
              <w:right w:type="dxa" w:w="120"/>
            </w:tcMar>
          </w:tcPr>
          <w:p>
            <w:pPr>
              <w:jc w:val="both"/>
            </w:pPr>
            <w:r>
              <w:rPr>
                <w:rFonts w:ascii="Times New Roman" w:cs="Times New Roman" w:eastAsia="Times New Roman" w:hAnsi="Times New Roman"/>
                <w:sz w:val="24"/>
                <w:szCs w:val="24"/>
              </w:rPr>
              <w:t xml:space="preserve">Should the High Court's observations criticising ICICI Bank's recovery agents be expunged, given that the underlying facts were unproven allegations and the investigation was still ongoing?</w:t>
            </w:r>
          </w:p>
        </w:tc>
      </w:tr>
      <w:tr>
        <w:tc>
          <w:tcPr>
            <w:tcW w:type="pct" w:w="2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Rule</w:t>
            </w:r>
          </w:p>
        </w:tc>
        <w:tc>
          <w:tcPr>
            <w:tcW w:type="pct" w:w="80%"/>
            <w:tcMar>
              <w:top w:type="dxa" w:w="100"/>
              <w:left w:type="dxa" w:w="120"/>
              <w:bottom w:type="dxa" w:w="100"/>
              <w:right w:type="dxa" w:w="120"/>
            </w:tcMar>
          </w:tcPr>
          <w:p>
            <w:pPr>
              <w:jc w:val="both"/>
            </w:pPr>
            <w:r>
              <w:rPr>
                <w:rFonts w:ascii="Times New Roman" w:cs="Times New Roman" w:eastAsia="Times New Roman" w:hAnsi="Times New Roman"/>
                <w:sz w:val="24"/>
                <w:szCs w:val="24"/>
              </w:rPr>
              <w:t xml:space="preserve">A court's observations on disputed facts drawn from an FIR or complaint, made while an investigation is ongoing, need not always be expunged; a clear judicial clarification that such observations will not influence or affect subsequent proceedings can provide equivalent protection to the aggrieved party.</w:t>
            </w:r>
          </w:p>
        </w:tc>
      </w:tr>
      <w:tr>
        <w:tc>
          <w:tcPr>
            <w:tcW w:type="pct" w:w="2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Application</w:t>
            </w:r>
          </w:p>
        </w:tc>
        <w:tc>
          <w:tcPr>
            <w:tcW w:type="pct" w:w="80%"/>
            <w:tcMar>
              <w:top w:type="dxa" w:w="100"/>
              <w:left w:type="dxa" w:w="120"/>
              <w:bottom w:type="dxa" w:w="100"/>
              <w:right w:type="dxa" w:w="120"/>
            </w:tcMar>
          </w:tcPr>
          <w:p>
            <w:pPr>
              <w:jc w:val="both"/>
            </w:pPr>
            <w:r>
              <w:rPr>
                <w:rFonts w:ascii="Times New Roman" w:cs="Times New Roman" w:eastAsia="Times New Roman" w:hAnsi="Times New Roman"/>
                <w:sz w:val="24"/>
                <w:szCs w:val="24"/>
              </w:rPr>
              <w:t xml:space="preserve">The Delhi High Court's observations that ICICI Bank's recovery agents were 'musclemen' and that its recovery methods were 'extra-legal' were based on the FIR and complaint; the High Court had already clarified that these observations would not affect any proceedings against the Bank.</w:t>
            </w:r>
          </w:p>
        </w:tc>
      </w:tr>
      <w:tr>
        <w:tc>
          <w:tcPr>
            <w:tcW w:type="pct" w:w="20%"/>
            <w:shd w:fill="D9D9D9" w:val="clear"/>
            <w:tcMar>
              <w:top w:type="dxa" w:w="100"/>
              <w:left w:type="dxa" w:w="120"/>
              <w:bottom w:type="dxa" w:w="100"/>
              <w:right w:type="dxa" w:w="120"/>
            </w:tcMar>
            <w:vAlign w:val="center"/>
          </w:tcPr>
          <w:p>
            <w:r>
              <w:rPr>
                <w:rFonts w:ascii="Times New Roman" w:cs="Times New Roman" w:eastAsia="Times New Roman" w:hAnsi="Times New Roman"/>
                <w:b/>
                <w:bCs/>
                <w:sz w:val="24"/>
                <w:szCs w:val="24"/>
              </w:rPr>
              <w:t xml:space="preserve">Conclusion</w:t>
            </w:r>
          </w:p>
        </w:tc>
        <w:tc>
          <w:tcPr>
            <w:tcW w:type="pct" w:w="80%"/>
            <w:tcMar>
              <w:top w:type="dxa" w:w="100"/>
              <w:left w:type="dxa" w:w="120"/>
              <w:bottom w:type="dxa" w:w="100"/>
              <w:right w:type="dxa" w:w="120"/>
            </w:tcMar>
          </w:tcPr>
          <w:p>
            <w:pPr>
              <w:jc w:val="both"/>
            </w:pPr>
            <w:r>
              <w:rPr>
                <w:rFonts w:ascii="Times New Roman" w:cs="Times New Roman" w:eastAsia="Times New Roman" w:hAnsi="Times New Roman"/>
                <w:sz w:val="24"/>
                <w:szCs w:val="24"/>
              </w:rPr>
              <w:t xml:space="preserve">The Supreme Court declined to expunge the observations, holding the clarification sufficient, directed the investigation to conclude within three months, and ordered the Bank to pay Rs 25,000 in costs to the respondents.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6"/>
        <w:szCs w:val="16"/>
      </w:rPr>
      <w:t xml:space="preserve">ICICI Bank v Shanti Devi Sharma — Case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2026-08-31T07:59:59.394Z</dcterms:created>
  <dcterms:modified xsi:type="dcterms:W3CDTF">2026-08-31T07:59:59.394Z</dcterms:modified>
</cp:coreProperties>
</file>

<file path=docProps/custom.xml><?xml version="1.0" encoding="utf-8"?>
<Properties xmlns="http://schemas.openxmlformats.org/officeDocument/2006/custom-properties" xmlns:vt="http://schemas.openxmlformats.org/officeDocument/2006/docPropsVTypes"/>
</file>