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0"/>
        <w:jc w:val="center"/>
      </w:pPr>
      <w:r>
        <w:rPr>
          <w:rFonts w:ascii="Times New Roman" w:cs="Times New Roman" w:eastAsia="Times New Roman" w:hAnsi="Times New Roman"/>
          <w:b/>
          <w:bCs/>
          <w:sz w:val="36"/>
          <w:szCs w:val="36"/>
        </w:rPr>
        <w:t xml:space="preserve">CORPORATE POLICY REVIEW REPORT</w:t>
      </w:r>
    </w:p>
    <w:p>
      <w:pPr>
        <w:spacing w:after="200"/>
        <w:jc w:val="center"/>
      </w:pPr>
      <w:r>
        <w:rPr>
          <w:rFonts w:ascii="Times New Roman" w:cs="Times New Roman" w:eastAsia="Times New Roman" w:hAnsi="Times New Roman"/>
          <w:b/>
          <w:bCs/>
          <w:sz w:val="30"/>
          <w:szCs w:val="30"/>
        </w:rPr>
        <w:t xml:space="preserve">Privacy Policy &amp; Data Protection</w:t>
      </w:r>
    </w:p>
    <w:p>
      <w:pPr>
        <w:spacing w:after="1600"/>
        <w:jc w:val="center"/>
      </w:pPr>
      <w:r>
        <w:rPr>
          <w:rFonts w:ascii="Times New Roman" w:cs="Times New Roman" w:eastAsia="Times New Roman" w:hAnsi="Times New Roman"/>
          <w:i/>
          <w:iCs/>
          <w:sz w:val="26"/>
          <w:szCs w:val="26"/>
        </w:rPr>
        <w:t xml:space="preserve">A Review of the TCS Privacy Policy</w:t>
      </w:r>
    </w:p>
    <w:p>
      <w:pPr>
        <w:spacing w:after="1600"/>
        <w:jc w:val="center"/>
      </w:pPr>
      <w:r>
        <w:rPr>
          <w:rFonts w:ascii="Times New Roman" w:cs="Times New Roman" w:eastAsia="Times New Roman" w:hAnsi="Times New Roman"/>
          <w:sz w:val="26"/>
          <w:szCs w:val="26"/>
        </w:rPr>
        <w:t xml:space="preserve">Organization Reviewed: Tata Consultancy Services (TCS)</w:t>
      </w:r>
    </w:p>
    <w:p>
      <w:pPr>
        <w:spacing w:after="15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6"/>
          <w:szCs w:val="26"/>
        </w:rPr>
        <w:t xml:space="preserve">Name: Manoj Kumar K</w:t>
      </w:r>
    </w:p>
    <w:p>
      <w:pPr>
        <w:spacing w:after="100"/>
        <w:jc w:val="center"/>
      </w:pPr>
      <w:r>
        <w:rPr>
          <w:rFonts w:ascii="Times New Roman" w:cs="Times New Roman" w:eastAsia="Times New Roman" w:hAnsi="Times New Roman"/>
          <w:sz w:val="26"/>
          <w:szCs w:val="26"/>
        </w:rPr>
        <w:t xml:space="preserve">Register Number: 5272510210</w:t>
      </w:r>
    </w:p>
    <w:p>
      <w:pPr>
        <w:spacing w:after="100"/>
        <w:jc w:val="center"/>
      </w:pPr>
      <w:r>
        <w:rPr>
          <w:rFonts w:ascii="Times New Roman" w:cs="Times New Roman" w:eastAsia="Times New Roman" w:hAnsi="Times New Roman"/>
          <w:sz w:val="26"/>
          <w:szCs w:val="26"/>
        </w:rPr>
        <w:t xml:space="preserve">Course: B.Com Fintech with AI</w:t>
      </w:r>
    </w:p>
    <w:p>
      <w:pPr>
        <w:spacing w:after="100"/>
        <w:jc w:val="center"/>
      </w:pPr>
      <w:r>
        <w:rPr>
          <w:rFonts w:ascii="Times New Roman" w:cs="Times New Roman" w:eastAsia="Times New Roman" w:hAnsi="Times New Roman"/>
          <w:sz w:val="26"/>
          <w:szCs w:val="26"/>
        </w:rPr>
        <w:t xml:space="preserve">Activity Title: Corporate Policy Review Report</w:t>
      </w:r>
    </w:p>
    <w:p>
      <w:pPr>
        <w:spacing w:after="100"/>
        <w:jc w:val="center"/>
      </w:pPr>
      <w:r>
        <w:rPr>
          <w:rFonts w:ascii="Times New Roman" w:cs="Times New Roman" w:eastAsia="Times New Roman" w:hAnsi="Times New Roman"/>
          <w:sz w:val="26"/>
          <w:szCs w:val="26"/>
        </w:rPr>
        <w:t xml:space="preserve">Policy Name: Privacy Policy &amp; Data Protection</w:t>
      </w:r>
    </w:p>
    <w:p>
      <w:r>
        <w:br w:type="page"/>
      </w:r>
    </w:p>
    <w:p>
      <w:pPr>
        <w:spacing w:after="150" w:before="3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Tata Consultancy Services (TCS) is a global leader in IT services, consulting, and business solutions, serving clients across more than 55 countries. As part of its daily business, TCS handles a huge amount of personal data belonging to employees, clients, job applicants, and website visitors. Because of this, protecting personal data is one of the most important responsibilities for the company.</w:t>
      </w:r>
    </w:p>
    <w:p>
      <w:pPr>
        <w:spacing w:after="200" w:line="360"/>
        <w:jc w:val="both"/>
      </w:pPr>
      <w:r>
        <w:rPr>
          <w:rFonts w:ascii="Times New Roman" w:cs="Times New Roman" w:eastAsia="Times New Roman" w:hAnsi="Times New Roman"/>
          <w:sz w:val="24"/>
          <w:szCs w:val="24"/>
        </w:rPr>
        <w:t xml:space="preserve">The policy chosen for this review is the TCS Privacy Policy, which explains how the company collects, uses, stores, and protects personal data. This policy applies to TCS and its subsidiaries worldwide and is designed to meet legal requirements such as the General Data Protection Regulation (GDPR) in Europe and India's data protection laws.</w:t>
      </w:r>
    </w:p>
    <w:p>
      <w:pPr>
        <w:spacing w:after="200" w:line="360"/>
        <w:jc w:val="both"/>
      </w:pPr>
      <w:r>
        <w:rPr>
          <w:rFonts w:ascii="Times New Roman" w:cs="Times New Roman" w:eastAsia="Times New Roman" w:hAnsi="Times New Roman"/>
          <w:sz w:val="24"/>
          <w:szCs w:val="24"/>
        </w:rPr>
        <w:t xml:space="preserve">The purpose of this review is to understand how TCS manages data privacy in a responsible and legally compliant way, and to evaluate how effective this policy is in protecting the people whose data it holds.</w:t>
      </w:r>
    </w:p>
    <w:p>
      <w:pPr>
        <w:spacing w:after="150" w:before="300"/>
      </w:pPr>
      <w:r>
        <w:rPr>
          <w:rFonts w:ascii="Times New Roman" w:cs="Times New Roman" w:eastAsia="Times New Roman" w:hAnsi="Times New Roman"/>
          <w:b/>
          <w:bCs/>
          <w:sz w:val="28"/>
          <w:szCs w:val="28"/>
        </w:rPr>
        <w:t xml:space="preserve">2. Policy Overview</w:t>
      </w:r>
    </w:p>
    <w:p>
      <w:pPr>
        <w:spacing w:after="200" w:line="360"/>
        <w:jc w:val="both"/>
      </w:pPr>
      <w:r>
        <w:rPr>
          <w:rFonts w:ascii="Times New Roman" w:cs="Times New Roman" w:eastAsia="Times New Roman" w:hAnsi="Times New Roman"/>
          <w:sz w:val="24"/>
          <w:szCs w:val="24"/>
        </w:rPr>
        <w:t xml:space="preserve">The TCS Privacy Policy sets out the minimum standards for collecting, processing, and handling personal data, including sensitive personal data, about individuals connected to the company. It reflects TCS's commitment to meeting legal and regulatory requirements for data protection in every country where it operates.</w:t>
      </w:r>
    </w:p>
    <w:p>
      <w:pPr>
        <w:spacing w:after="100" w:before="150"/>
      </w:pPr>
      <w:r>
        <w:rPr>
          <w:rFonts w:ascii="Times New Roman" w:cs="Times New Roman" w:eastAsia="Times New Roman" w:hAnsi="Times New Roman"/>
          <w:b/>
          <w:bCs/>
          <w:sz w:val="28"/>
          <w:szCs w:val="28"/>
        </w:rPr>
        <w:t xml:space="preserve">Scope of the Policy</w:t>
      </w:r>
    </w:p>
    <w:p>
      <w:pPr>
        <w:spacing w:after="200" w:line="360"/>
        <w:jc w:val="both"/>
      </w:pPr>
      <w:r>
        <w:rPr>
          <w:rFonts w:ascii="Times New Roman" w:cs="Times New Roman" w:eastAsia="Times New Roman" w:hAnsi="Times New Roman"/>
          <w:sz w:val="24"/>
          <w:szCs w:val="24"/>
        </w:rPr>
        <w:t xml:space="preserve">The policy applies to Tata Consultancy Services Limited and all its direct and indirect subsidiaries and foreign branch offices. It covers personal data collected through websites, job applications, client interactions, and the ordinary course of employment.</w:t>
      </w:r>
    </w:p>
    <w:p>
      <w:pPr>
        <w:spacing w:after="100" w:before="150"/>
      </w:pPr>
      <w:r>
        <w:rPr>
          <w:rFonts w:ascii="Times New Roman" w:cs="Times New Roman" w:eastAsia="Times New Roman" w:hAnsi="Times New Roman"/>
          <w:b/>
          <w:bCs/>
          <w:sz w:val="28"/>
          <w:szCs w:val="28"/>
        </w:rPr>
        <w:t xml:space="preserve">Stakeholders Covered</w:t>
      </w:r>
    </w:p>
    <w:p>
      <w:pPr>
        <w:pStyle w:val="ListParagraph"/>
        <w:numPr>
          <w:ilvl w:val="0"/>
          <w:numId w:val="1"/>
        </w:numPr>
        <w:spacing w:after="100" w:line="360"/>
      </w:pPr>
      <w:r>
        <w:rPr>
          <w:rFonts w:ascii="Times New Roman" w:cs="Times New Roman" w:eastAsia="Times New Roman" w:hAnsi="Times New Roman"/>
          <w:sz w:val="24"/>
          <w:szCs w:val="24"/>
        </w:rPr>
        <w:t xml:space="preserve">TCS employees and associates</w:t>
      </w:r>
    </w:p>
    <w:p>
      <w:pPr>
        <w:pStyle w:val="ListParagraph"/>
        <w:numPr>
          <w:ilvl w:val="0"/>
          <w:numId w:val="1"/>
        </w:numPr>
        <w:spacing w:after="100" w:line="360"/>
      </w:pPr>
      <w:r>
        <w:rPr>
          <w:rFonts w:ascii="Times New Roman" w:cs="Times New Roman" w:eastAsia="Times New Roman" w:hAnsi="Times New Roman"/>
          <w:sz w:val="24"/>
          <w:szCs w:val="24"/>
        </w:rPr>
        <w:t xml:space="preserve">Job applicants and candidates</w:t>
      </w:r>
    </w:p>
    <w:p>
      <w:pPr>
        <w:pStyle w:val="ListParagraph"/>
        <w:numPr>
          <w:ilvl w:val="0"/>
          <w:numId w:val="1"/>
        </w:numPr>
        <w:spacing w:after="100" w:line="360"/>
      </w:pPr>
      <w:r>
        <w:rPr>
          <w:rFonts w:ascii="Times New Roman" w:cs="Times New Roman" w:eastAsia="Times New Roman" w:hAnsi="Times New Roman"/>
          <w:sz w:val="24"/>
          <w:szCs w:val="24"/>
        </w:rPr>
        <w:t xml:space="preserve">Clients and business contacts</w:t>
      </w:r>
    </w:p>
    <w:p>
      <w:pPr>
        <w:pStyle w:val="ListParagraph"/>
        <w:numPr>
          <w:ilvl w:val="0"/>
          <w:numId w:val="1"/>
        </w:numPr>
        <w:spacing w:after="100" w:line="360"/>
      </w:pPr>
      <w:r>
        <w:rPr>
          <w:rFonts w:ascii="Times New Roman" w:cs="Times New Roman" w:eastAsia="Times New Roman" w:hAnsi="Times New Roman"/>
          <w:sz w:val="24"/>
          <w:szCs w:val="24"/>
        </w:rPr>
        <w:t xml:space="preserve">Vendors and third-party partners</w:t>
      </w:r>
    </w:p>
    <w:p>
      <w:pPr>
        <w:pStyle w:val="ListParagraph"/>
        <w:numPr>
          <w:ilvl w:val="0"/>
          <w:numId w:val="1"/>
        </w:numPr>
        <w:spacing w:after="100" w:line="360"/>
      </w:pPr>
      <w:r>
        <w:rPr>
          <w:rFonts w:ascii="Times New Roman" w:cs="Times New Roman" w:eastAsia="Times New Roman" w:hAnsi="Times New Roman"/>
          <w:sz w:val="24"/>
          <w:szCs w:val="24"/>
        </w:rPr>
        <w:t xml:space="preserve">Visitors to TCS websites and digital platforms</w:t>
      </w:r>
    </w:p>
    <w:p>
      <w:pPr>
        <w:spacing w:after="100" w:before="150"/>
      </w:pPr>
      <w:r>
        <w:rPr>
          <w:rFonts w:ascii="Times New Roman" w:cs="Times New Roman" w:eastAsia="Times New Roman" w:hAnsi="Times New Roman"/>
          <w:b/>
          <w:bCs/>
          <w:sz w:val="28"/>
          <w:szCs w:val="28"/>
        </w:rPr>
        <w:t xml:space="preserve">Key Objectives of the Policy</w:t>
      </w:r>
    </w:p>
    <w:p>
      <w:pPr>
        <w:pStyle w:val="ListParagraph"/>
        <w:numPr>
          <w:ilvl w:val="0"/>
          <w:numId w:val="1"/>
        </w:numPr>
        <w:spacing w:after="100" w:line="360"/>
      </w:pPr>
      <w:r>
        <w:rPr>
          <w:rFonts w:ascii="Times New Roman" w:cs="Times New Roman" w:eastAsia="Times New Roman" w:hAnsi="Times New Roman"/>
          <w:sz w:val="24"/>
          <w:szCs w:val="24"/>
        </w:rPr>
        <w:t xml:space="preserve">To protect personal data from misuse, loss, or unauthorised access</w:t>
      </w:r>
    </w:p>
    <w:p>
      <w:pPr>
        <w:pStyle w:val="ListParagraph"/>
        <w:numPr>
          <w:ilvl w:val="0"/>
          <w:numId w:val="1"/>
        </w:numPr>
        <w:spacing w:after="100" w:line="360"/>
      </w:pPr>
      <w:r>
        <w:rPr>
          <w:rFonts w:ascii="Times New Roman" w:cs="Times New Roman" w:eastAsia="Times New Roman" w:hAnsi="Times New Roman"/>
          <w:sz w:val="24"/>
          <w:szCs w:val="24"/>
        </w:rPr>
        <w:t xml:space="preserve">To ensure data is collected and used only for clear, lawful purposes</w:t>
      </w:r>
    </w:p>
    <w:p>
      <w:pPr>
        <w:pStyle w:val="ListParagraph"/>
        <w:numPr>
          <w:ilvl w:val="0"/>
          <w:numId w:val="1"/>
        </w:numPr>
        <w:spacing w:after="100" w:line="360"/>
      </w:pPr>
      <w:r>
        <w:rPr>
          <w:rFonts w:ascii="Times New Roman" w:cs="Times New Roman" w:eastAsia="Times New Roman" w:hAnsi="Times New Roman"/>
          <w:sz w:val="24"/>
          <w:szCs w:val="24"/>
        </w:rPr>
        <w:t xml:space="preserve">To meet international data protection laws such as GDPR</w:t>
      </w:r>
    </w:p>
    <w:p>
      <w:pPr>
        <w:pStyle w:val="ListParagraph"/>
        <w:numPr>
          <w:ilvl w:val="0"/>
          <w:numId w:val="1"/>
        </w:numPr>
        <w:spacing w:after="100" w:line="360"/>
      </w:pPr>
      <w:r>
        <w:rPr>
          <w:rFonts w:ascii="Times New Roman" w:cs="Times New Roman" w:eastAsia="Times New Roman" w:hAnsi="Times New Roman"/>
          <w:sz w:val="24"/>
          <w:szCs w:val="24"/>
        </w:rPr>
        <w:t xml:space="preserve">To give individuals rights and control over their own data</w:t>
      </w:r>
    </w:p>
    <w:p>
      <w:pPr>
        <w:pStyle w:val="ListParagraph"/>
        <w:numPr>
          <w:ilvl w:val="0"/>
          <w:numId w:val="1"/>
        </w:numPr>
        <w:spacing w:after="100" w:line="360"/>
      </w:pPr>
      <w:r>
        <w:rPr>
          <w:rFonts w:ascii="Times New Roman" w:cs="Times New Roman" w:eastAsia="Times New Roman" w:hAnsi="Times New Roman"/>
          <w:sz w:val="24"/>
          <w:szCs w:val="24"/>
        </w:rPr>
        <w:t xml:space="preserve">To build trust with clients and employees through responsible data handling</w:t>
      </w:r>
    </w:p>
    <w:p>
      <w:pPr>
        <w:spacing w:after="150" w:before="300"/>
      </w:pPr>
      <w:r>
        <w:rPr>
          <w:rFonts w:ascii="Times New Roman" w:cs="Times New Roman" w:eastAsia="Times New Roman" w:hAnsi="Times New Roman"/>
          <w:b/>
          <w:bCs/>
          <w:sz w:val="28"/>
          <w:szCs w:val="28"/>
        </w:rPr>
        <w:t xml:space="preserve">3. Key Provisions of the Policy</w:t>
      </w:r>
    </w:p>
    <w:p>
      <w:pPr>
        <w:spacing w:after="200" w:line="360"/>
        <w:jc w:val="both"/>
      </w:pPr>
      <w:r>
        <w:rPr>
          <w:rFonts w:ascii="Times New Roman" w:cs="Times New Roman" w:eastAsia="Times New Roman" w:hAnsi="Times New Roman"/>
          <w:sz w:val="24"/>
          <w:szCs w:val="24"/>
        </w:rPr>
        <w:t xml:space="preserve">The TCS Privacy Policy is built around several core provisions that guide how personal data is handled at every stage.</w:t>
      </w:r>
    </w:p>
    <w:p>
      <w:pPr>
        <w:spacing w:after="100" w:before="150"/>
      </w:pPr>
      <w:r>
        <w:rPr>
          <w:rFonts w:ascii="Times New Roman" w:cs="Times New Roman" w:eastAsia="Times New Roman" w:hAnsi="Times New Roman"/>
          <w:b/>
          <w:bCs/>
          <w:sz w:val="28"/>
          <w:szCs w:val="28"/>
        </w:rPr>
        <w:t xml:space="preserve">Data Collection</w:t>
      </w:r>
    </w:p>
    <w:p>
      <w:pPr>
        <w:spacing w:after="200" w:line="360"/>
        <w:jc w:val="both"/>
      </w:pPr>
      <w:r>
        <w:rPr>
          <w:rFonts w:ascii="Times New Roman" w:cs="Times New Roman" w:eastAsia="Times New Roman" w:hAnsi="Times New Roman"/>
          <w:sz w:val="24"/>
          <w:szCs w:val="24"/>
        </w:rPr>
        <w:t xml:space="preserve">TCS collects personal data such as names, contact details, job titles, and browsing information. This data may be collected directly from the individual, or indirectly through business partners, recruitment platforms, or publicly available sources such as social media.</w:t>
      </w:r>
    </w:p>
    <w:p>
      <w:pPr>
        <w:spacing w:after="100" w:before="150"/>
      </w:pPr>
      <w:r>
        <w:rPr>
          <w:rFonts w:ascii="Times New Roman" w:cs="Times New Roman" w:eastAsia="Times New Roman" w:hAnsi="Times New Roman"/>
          <w:b/>
          <w:bCs/>
          <w:sz w:val="28"/>
          <w:szCs w:val="28"/>
        </w:rPr>
        <w:t xml:space="preserve">Consent and Lawful Basis</w:t>
      </w:r>
    </w:p>
    <w:p>
      <w:pPr>
        <w:spacing w:after="200" w:line="360"/>
        <w:jc w:val="both"/>
      </w:pPr>
      <w:r>
        <w:rPr>
          <w:rFonts w:ascii="Times New Roman" w:cs="Times New Roman" w:eastAsia="Times New Roman" w:hAnsi="Times New Roman"/>
          <w:sz w:val="24"/>
          <w:szCs w:val="24"/>
        </w:rPr>
        <w:t xml:space="preserve">Personal data is processed only where there is a legitimate business or compliance purpose, or where the individual has given consent. TCS informs individuals about the purpose of data collection and who to contact for questions about privacy.</w:t>
      </w:r>
    </w:p>
    <w:p>
      <w:pPr>
        <w:spacing w:after="100" w:before="150"/>
      </w:pPr>
      <w:r>
        <w:rPr>
          <w:rFonts w:ascii="Times New Roman" w:cs="Times New Roman" w:eastAsia="Times New Roman" w:hAnsi="Times New Roman"/>
          <w:b/>
          <w:bCs/>
          <w:sz w:val="28"/>
          <w:szCs w:val="28"/>
        </w:rPr>
        <w:t xml:space="preserve">Data Usage and Sharing</w:t>
      </w:r>
    </w:p>
    <w:p>
      <w:pPr>
        <w:spacing w:after="200" w:line="360"/>
        <w:jc w:val="both"/>
      </w:pPr>
      <w:r>
        <w:rPr>
          <w:rFonts w:ascii="Times New Roman" w:cs="Times New Roman" w:eastAsia="Times New Roman" w:hAnsi="Times New Roman"/>
          <w:sz w:val="24"/>
          <w:szCs w:val="24"/>
        </w:rPr>
        <w:t xml:space="preserve">Data collected is used mainly to manage client relationships, deliver services, and run business operations. When data is shared with third parties, TCS requires those partners to follow similar privacy standards through contractual agreements.</w:t>
      </w:r>
    </w:p>
    <w:p>
      <w:pPr>
        <w:spacing w:after="100" w:before="150"/>
      </w:pPr>
      <w:r>
        <w:rPr>
          <w:rFonts w:ascii="Times New Roman" w:cs="Times New Roman" w:eastAsia="Times New Roman" w:hAnsi="Times New Roman"/>
          <w:b/>
          <w:bCs/>
          <w:sz w:val="28"/>
          <w:szCs w:val="28"/>
        </w:rPr>
        <w:t xml:space="preserve">Data Retention</w:t>
      </w:r>
    </w:p>
    <w:p>
      <w:pPr>
        <w:spacing w:after="200" w:line="360"/>
        <w:jc w:val="both"/>
      </w:pPr>
      <w:r>
        <w:rPr>
          <w:rFonts w:ascii="Times New Roman" w:cs="Times New Roman" w:eastAsia="Times New Roman" w:hAnsi="Times New Roman"/>
          <w:sz w:val="24"/>
          <w:szCs w:val="24"/>
        </w:rPr>
        <w:t xml:space="preserve">TCS retains personal data only for as long as necessary for the purpose it was collected, in line with applicable laws. For example, certain travel and expense records are retained for a fixed number of years for reporting purposes.</w:t>
      </w:r>
    </w:p>
    <w:p>
      <w:pPr>
        <w:spacing w:after="100" w:before="150"/>
      </w:pPr>
      <w:r>
        <w:rPr>
          <w:rFonts w:ascii="Times New Roman" w:cs="Times New Roman" w:eastAsia="Times New Roman" w:hAnsi="Times New Roman"/>
          <w:b/>
          <w:bCs/>
          <w:sz w:val="28"/>
          <w:szCs w:val="28"/>
        </w:rPr>
        <w:t xml:space="preserve">Data Security</w:t>
      </w:r>
    </w:p>
    <w:p>
      <w:pPr>
        <w:spacing w:after="200" w:line="360"/>
        <w:jc w:val="both"/>
      </w:pPr>
      <w:r>
        <w:rPr>
          <w:rFonts w:ascii="Times New Roman" w:cs="Times New Roman" w:eastAsia="Times New Roman" w:hAnsi="Times New Roman"/>
          <w:sz w:val="24"/>
          <w:szCs w:val="24"/>
        </w:rPr>
        <w:t xml:space="preserve">TCS uses administrative, technical, and physical security measures to prevent personal data from being lost, misused, or accessed without authorisation. Access to personal data is limited only to employees who genuinely need it for their work.</w:t>
      </w:r>
    </w:p>
    <w:p>
      <w:pPr>
        <w:spacing w:after="100" w:before="150"/>
      </w:pPr>
      <w:r>
        <w:rPr>
          <w:rFonts w:ascii="Times New Roman" w:cs="Times New Roman" w:eastAsia="Times New Roman" w:hAnsi="Times New Roman"/>
          <w:b/>
          <w:bCs/>
          <w:sz w:val="28"/>
          <w:szCs w:val="28"/>
        </w:rPr>
        <w:t xml:space="preserve">Rights of Individuals</w:t>
      </w:r>
    </w:p>
    <w:p>
      <w:pPr>
        <w:pStyle w:val="ListParagraph"/>
        <w:numPr>
          <w:ilvl w:val="0"/>
          <w:numId w:val="1"/>
        </w:numPr>
        <w:spacing w:after="100" w:line="360"/>
      </w:pPr>
      <w:r>
        <w:rPr>
          <w:rFonts w:ascii="Times New Roman" w:cs="Times New Roman" w:eastAsia="Times New Roman" w:hAnsi="Times New Roman"/>
          <w:sz w:val="24"/>
          <w:szCs w:val="24"/>
        </w:rPr>
        <w:t xml:space="preserve">The right to access personal data held about them</w:t>
      </w:r>
    </w:p>
    <w:p>
      <w:pPr>
        <w:pStyle w:val="ListParagraph"/>
        <w:numPr>
          <w:ilvl w:val="0"/>
          <w:numId w:val="1"/>
        </w:numPr>
        <w:spacing w:after="100" w:line="360"/>
      </w:pPr>
      <w:r>
        <w:rPr>
          <w:rFonts w:ascii="Times New Roman" w:cs="Times New Roman" w:eastAsia="Times New Roman" w:hAnsi="Times New Roman"/>
          <w:sz w:val="24"/>
          <w:szCs w:val="24"/>
        </w:rPr>
        <w:t xml:space="preserve">The right to correct inaccurate personal data</w:t>
      </w:r>
    </w:p>
    <w:p>
      <w:pPr>
        <w:pStyle w:val="ListParagraph"/>
        <w:numPr>
          <w:ilvl w:val="0"/>
          <w:numId w:val="1"/>
        </w:numPr>
        <w:spacing w:after="100" w:line="360"/>
      </w:pPr>
      <w:r>
        <w:rPr>
          <w:rFonts w:ascii="Times New Roman" w:cs="Times New Roman" w:eastAsia="Times New Roman" w:hAnsi="Times New Roman"/>
          <w:sz w:val="24"/>
          <w:szCs w:val="24"/>
        </w:rPr>
        <w:t xml:space="preserve">The right to be informed about how their data is used</w:t>
      </w:r>
    </w:p>
    <w:p>
      <w:pPr>
        <w:pStyle w:val="ListParagraph"/>
        <w:numPr>
          <w:ilvl w:val="0"/>
          <w:numId w:val="1"/>
        </w:numPr>
        <w:spacing w:after="100" w:line="360"/>
      </w:pPr>
      <w:r>
        <w:rPr>
          <w:rFonts w:ascii="Times New Roman" w:cs="Times New Roman" w:eastAsia="Times New Roman" w:hAnsi="Times New Roman"/>
          <w:sz w:val="24"/>
          <w:szCs w:val="24"/>
        </w:rPr>
        <w:t xml:space="preserve">The right to raise concerns with TCS about data handling</w:t>
      </w:r>
    </w:p>
    <w:p>
      <w:pPr>
        <w:spacing w:after="150" w:before="300"/>
      </w:pPr>
      <w:r>
        <w:rPr>
          <w:rFonts w:ascii="Times New Roman" w:cs="Times New Roman" w:eastAsia="Times New Roman" w:hAnsi="Times New Roman"/>
          <w:b/>
          <w:bCs/>
          <w:sz w:val="28"/>
          <w:szCs w:val="28"/>
        </w:rPr>
        <w:t xml:space="preserve">4. Compliance and Governance Analysis</w:t>
      </w:r>
    </w:p>
    <w:p>
      <w:pPr>
        <w:spacing w:after="200" w:line="360"/>
        <w:jc w:val="both"/>
      </w:pPr>
      <w:r>
        <w:rPr>
          <w:rFonts w:ascii="Times New Roman" w:cs="Times New Roman" w:eastAsia="Times New Roman" w:hAnsi="Times New Roman"/>
          <w:sz w:val="24"/>
          <w:szCs w:val="24"/>
        </w:rPr>
        <w:t xml:space="preserve">The TCS Privacy Policy is closely aligned with major data protection laws around the world. In Europe, it follows the General Data Protection Regulation (GDPR), which sets strict rules on consent, data minimisation, and individual rights. In other regions, TCS follows local laws such as the Protection of Personal Information Act (POPIA) in South Africa and India's data protection framework under the Information Technology Act.</w:t>
      </w:r>
    </w:p>
    <w:p>
      <w:pPr>
        <w:spacing w:after="100" w:before="150"/>
      </w:pPr>
      <w:r>
        <w:rPr>
          <w:rFonts w:ascii="Times New Roman" w:cs="Times New Roman" w:eastAsia="Times New Roman" w:hAnsi="Times New Roman"/>
          <w:b/>
          <w:bCs/>
          <w:sz w:val="28"/>
          <w:szCs w:val="28"/>
        </w:rPr>
        <w:t xml:space="preserve">Governance Mechanisms</w:t>
      </w:r>
    </w:p>
    <w:p>
      <w:pPr>
        <w:pStyle w:val="ListParagraph"/>
        <w:numPr>
          <w:ilvl w:val="0"/>
          <w:numId w:val="1"/>
        </w:numPr>
        <w:spacing w:after="100" w:line="360"/>
      </w:pPr>
      <w:r>
        <w:rPr>
          <w:rFonts w:ascii="Times New Roman" w:cs="Times New Roman" w:eastAsia="Times New Roman" w:hAnsi="Times New Roman"/>
          <w:sz w:val="24"/>
          <w:szCs w:val="24"/>
        </w:rPr>
        <w:t xml:space="preserve">TCS acts as a "data controller", meaning it is responsible for deciding how personal data is held and used</w:t>
      </w:r>
    </w:p>
    <w:p>
      <w:pPr>
        <w:pStyle w:val="ListParagraph"/>
        <w:numPr>
          <w:ilvl w:val="0"/>
          <w:numId w:val="1"/>
        </w:numPr>
        <w:spacing w:after="100" w:line="360"/>
      </w:pPr>
      <w:r>
        <w:rPr>
          <w:rFonts w:ascii="Times New Roman" w:cs="Times New Roman" w:eastAsia="Times New Roman" w:hAnsi="Times New Roman"/>
          <w:sz w:val="24"/>
          <w:szCs w:val="24"/>
        </w:rPr>
        <w:t xml:space="preserve">Separate privacy notices are issued for different situations, such as candidates, clients, and employees</w:t>
      </w:r>
    </w:p>
    <w:p>
      <w:pPr>
        <w:pStyle w:val="ListParagraph"/>
        <w:numPr>
          <w:ilvl w:val="0"/>
          <w:numId w:val="1"/>
        </w:numPr>
        <w:spacing w:after="100" w:line="360"/>
      </w:pPr>
      <w:r>
        <w:rPr>
          <w:rFonts w:ascii="Times New Roman" w:cs="Times New Roman" w:eastAsia="Times New Roman" w:hAnsi="Times New Roman"/>
          <w:sz w:val="24"/>
          <w:szCs w:val="24"/>
        </w:rPr>
        <w:t xml:space="preserve">Contractual agreements bind vendors and business partners to the same privacy standards</w:t>
      </w:r>
    </w:p>
    <w:p>
      <w:pPr>
        <w:pStyle w:val="ListParagraph"/>
        <w:numPr>
          <w:ilvl w:val="0"/>
          <w:numId w:val="1"/>
        </w:numPr>
        <w:spacing w:after="100" w:line="360"/>
      </w:pPr>
      <w:r>
        <w:rPr>
          <w:rFonts w:ascii="Times New Roman" w:cs="Times New Roman" w:eastAsia="Times New Roman" w:hAnsi="Times New Roman"/>
          <w:sz w:val="24"/>
          <w:szCs w:val="24"/>
        </w:rPr>
        <w:t xml:space="preserve">Cross-border data transfers are protected through comparable privacy safeguards</w:t>
      </w:r>
    </w:p>
    <w:p>
      <w:pPr>
        <w:pStyle w:val="ListParagraph"/>
        <w:numPr>
          <w:ilvl w:val="0"/>
          <w:numId w:val="1"/>
        </w:numPr>
        <w:spacing w:after="100" w:line="360"/>
      </w:pPr>
      <w:r>
        <w:rPr>
          <w:rFonts w:ascii="Times New Roman" w:cs="Times New Roman" w:eastAsia="Times New Roman" w:hAnsi="Times New Roman"/>
          <w:sz w:val="24"/>
          <w:szCs w:val="24"/>
        </w:rPr>
        <w:t xml:space="preserve">Individuals are told whom to contact for privacy-related questions or complaints</w:t>
      </w:r>
    </w:p>
    <w:p>
      <w:pPr>
        <w:spacing w:after="200" w:line="360"/>
        <w:jc w:val="both"/>
      </w:pPr>
      <w:r>
        <w:rPr>
          <w:rFonts w:ascii="Times New Roman" w:cs="Times New Roman" w:eastAsia="Times New Roman" w:hAnsi="Times New Roman"/>
          <w:sz w:val="24"/>
          <w:szCs w:val="24"/>
        </w:rPr>
        <w:t xml:space="preserve">These mechanisms show that TCS builds legal compliance directly into its data handling processes, rather than treating privacy as a separate afterthought. This layered approach helps the company meet different legal requirements across the many countries where it operates.</w:t>
      </w:r>
    </w:p>
    <w:p>
      <w:pPr>
        <w:spacing w:after="150" w:before="300"/>
      </w:pPr>
      <w:r>
        <w:rPr>
          <w:rFonts w:ascii="Times New Roman" w:cs="Times New Roman" w:eastAsia="Times New Roman" w:hAnsi="Times New Roman"/>
          <w:b/>
          <w:bCs/>
          <w:sz w:val="28"/>
          <w:szCs w:val="28"/>
        </w:rPr>
        <w:t xml:space="preserve">5. Policy Evaluation</w:t>
      </w:r>
    </w:p>
    <w:p>
      <w:pPr>
        <w:spacing w:after="100" w:before="150"/>
      </w:pPr>
      <w:r>
        <w:rPr>
          <w:rFonts w:ascii="Times New Roman" w:cs="Times New Roman" w:eastAsia="Times New Roman" w:hAnsi="Times New Roman"/>
          <w:b/>
          <w:bCs/>
          <w:sz w:val="28"/>
          <w:szCs w:val="28"/>
        </w:rPr>
        <w:t xml:space="preserve">Strengths</w:t>
      </w:r>
    </w:p>
    <w:p>
      <w:pPr>
        <w:pStyle w:val="ListParagraph"/>
        <w:numPr>
          <w:ilvl w:val="0"/>
          <w:numId w:val="1"/>
        </w:numPr>
        <w:spacing w:after="100" w:line="360"/>
      </w:pPr>
      <w:r>
        <w:rPr>
          <w:rFonts w:ascii="Times New Roman" w:cs="Times New Roman" w:eastAsia="Times New Roman" w:hAnsi="Times New Roman"/>
          <w:sz w:val="24"/>
          <w:szCs w:val="24"/>
        </w:rPr>
        <w:t xml:space="preserve">Covers a wide range of stakeholders, including employees, clients, candidates, and website visitors</w:t>
      </w:r>
    </w:p>
    <w:p>
      <w:pPr>
        <w:pStyle w:val="ListParagraph"/>
        <w:numPr>
          <w:ilvl w:val="0"/>
          <w:numId w:val="1"/>
        </w:numPr>
        <w:spacing w:after="100" w:line="360"/>
      </w:pPr>
      <w:r>
        <w:rPr>
          <w:rFonts w:ascii="Times New Roman" w:cs="Times New Roman" w:eastAsia="Times New Roman" w:hAnsi="Times New Roman"/>
          <w:sz w:val="24"/>
          <w:szCs w:val="24"/>
        </w:rPr>
        <w:t xml:space="preserve">Aligned with strong international standards such as GDPR</w:t>
      </w:r>
    </w:p>
    <w:p>
      <w:pPr>
        <w:pStyle w:val="ListParagraph"/>
        <w:numPr>
          <w:ilvl w:val="0"/>
          <w:numId w:val="1"/>
        </w:numPr>
        <w:spacing w:after="100" w:line="360"/>
      </w:pPr>
      <w:r>
        <w:rPr>
          <w:rFonts w:ascii="Times New Roman" w:cs="Times New Roman" w:eastAsia="Times New Roman" w:hAnsi="Times New Roman"/>
          <w:sz w:val="24"/>
          <w:szCs w:val="24"/>
        </w:rPr>
        <w:t xml:space="preserve">Clear data security measures, including limited access on a need-to-know basis</w:t>
      </w:r>
    </w:p>
    <w:p>
      <w:pPr>
        <w:pStyle w:val="ListParagraph"/>
        <w:numPr>
          <w:ilvl w:val="0"/>
          <w:numId w:val="1"/>
        </w:numPr>
        <w:spacing w:after="100" w:line="360"/>
      </w:pPr>
      <w:r>
        <w:rPr>
          <w:rFonts w:ascii="Times New Roman" w:cs="Times New Roman" w:eastAsia="Times New Roman" w:hAnsi="Times New Roman"/>
          <w:sz w:val="24"/>
          <w:szCs w:val="24"/>
        </w:rPr>
        <w:t xml:space="preserve">Separate, specific privacy notices reduce confusion for different groups of people</w:t>
      </w:r>
    </w:p>
    <w:p>
      <w:pPr>
        <w:spacing w:after="100" w:before="150"/>
      </w:pPr>
      <w:r>
        <w:rPr>
          <w:rFonts w:ascii="Times New Roman" w:cs="Times New Roman" w:eastAsia="Times New Roman" w:hAnsi="Times New Roman"/>
          <w:b/>
          <w:bCs/>
          <w:sz w:val="28"/>
          <w:szCs w:val="28"/>
        </w:rPr>
        <w:t xml:space="preserve">Effectiveness and Practicality</w:t>
      </w:r>
    </w:p>
    <w:p>
      <w:pPr>
        <w:spacing w:after="200" w:line="360"/>
        <w:jc w:val="both"/>
      </w:pPr>
      <w:r>
        <w:rPr>
          <w:rFonts w:ascii="Times New Roman" w:cs="Times New Roman" w:eastAsia="Times New Roman" w:hAnsi="Times New Roman"/>
          <w:sz w:val="24"/>
          <w:szCs w:val="24"/>
        </w:rPr>
        <w:t xml:space="preserve">The policy appears practical because it is broken down into region-specific and audience-specific notices, such as separate notices for job candidates in France or clients in Australia. This makes the rules easier to apply correctly in each local context, rather than using one confusing global document.</w:t>
      </w:r>
    </w:p>
    <w:p>
      <w:pPr>
        <w:spacing w:after="100" w:before="150"/>
      </w:pPr>
      <w:r>
        <w:rPr>
          <w:rFonts w:ascii="Times New Roman" w:cs="Times New Roman" w:eastAsia="Times New Roman" w:hAnsi="Times New Roman"/>
          <w:b/>
          <w:bCs/>
          <w:sz w:val="28"/>
          <w:szCs w:val="28"/>
        </w:rPr>
        <w:t xml:space="preserve">Gaps and Limitations</w:t>
      </w:r>
    </w:p>
    <w:p>
      <w:pPr>
        <w:pStyle w:val="ListParagraph"/>
        <w:numPr>
          <w:ilvl w:val="0"/>
          <w:numId w:val="1"/>
        </w:numPr>
        <w:spacing w:after="100" w:line="360"/>
      </w:pPr>
      <w:r>
        <w:rPr>
          <w:rFonts w:ascii="Times New Roman" w:cs="Times New Roman" w:eastAsia="Times New Roman" w:hAnsi="Times New Roman"/>
          <w:sz w:val="24"/>
          <w:szCs w:val="24"/>
        </w:rPr>
        <w:t xml:space="preserve">The number of separate privacy notices across countries may make it harder for a single individual to get a full, simple picture of their rights</w:t>
      </w:r>
    </w:p>
    <w:p>
      <w:pPr>
        <w:pStyle w:val="ListParagraph"/>
        <w:numPr>
          <w:ilvl w:val="0"/>
          <w:numId w:val="1"/>
        </w:numPr>
        <w:spacing w:after="100" w:line="360"/>
      </w:pPr>
      <w:r>
        <w:rPr>
          <w:rFonts w:ascii="Times New Roman" w:cs="Times New Roman" w:eastAsia="Times New Roman" w:hAnsi="Times New Roman"/>
          <w:sz w:val="24"/>
          <w:szCs w:val="24"/>
        </w:rPr>
        <w:t xml:space="preserve">Employees may not always read detailed privacy notices carefully, reducing real awareness</w:t>
      </w:r>
    </w:p>
    <w:p>
      <w:pPr>
        <w:pStyle w:val="ListParagraph"/>
        <w:numPr>
          <w:ilvl w:val="0"/>
          <w:numId w:val="1"/>
        </w:numPr>
        <w:spacing w:after="100" w:line="360"/>
      </w:pPr>
      <w:r>
        <w:rPr>
          <w:rFonts w:ascii="Times New Roman" w:cs="Times New Roman" w:eastAsia="Times New Roman" w:hAnsi="Times New Roman"/>
          <w:sz w:val="24"/>
          <w:szCs w:val="24"/>
        </w:rPr>
        <w:t xml:space="preserve">Cross-border data transfer always carries some risk, even with contractual safeguards in place</w:t>
      </w:r>
    </w:p>
    <w:p>
      <w:pPr>
        <w:spacing w:after="100" w:before="150"/>
      </w:pPr>
      <w:r>
        <w:rPr>
          <w:rFonts w:ascii="Times New Roman" w:cs="Times New Roman" w:eastAsia="Times New Roman" w:hAnsi="Times New Roman"/>
          <w:b/>
          <w:bCs/>
          <w:sz w:val="28"/>
          <w:szCs w:val="28"/>
        </w:rPr>
        <w:t xml:space="preserve">Comparison with Good Corporate Practice</w:t>
      </w:r>
    </w:p>
    <w:p>
      <w:pPr>
        <w:spacing w:after="200" w:line="360"/>
        <w:jc w:val="both"/>
      </w:pPr>
      <w:r>
        <w:rPr>
          <w:rFonts w:ascii="Times New Roman" w:cs="Times New Roman" w:eastAsia="Times New Roman" w:hAnsi="Times New Roman"/>
          <w:sz w:val="24"/>
          <w:szCs w:val="24"/>
        </w:rPr>
        <w:t xml:space="preserve">Compared to general industry practice, TCS's approach of maintaining country-specific privacy notices alongside a global policy is considered good practice, since data protection laws differ significantly between regions. Many companies use only one generic privacy policy, which can fail to meet stricter local laws such as GDPR.</w:t>
      </w:r>
    </w:p>
    <w:p>
      <w:pPr>
        <w:spacing w:after="150" w:before="300"/>
      </w:pPr>
      <w:r>
        <w:rPr>
          <w:rFonts w:ascii="Times New Roman" w:cs="Times New Roman" w:eastAsia="Times New Roman" w:hAnsi="Times New Roman"/>
          <w:b/>
          <w:bCs/>
          <w:sz w:val="28"/>
          <w:szCs w:val="28"/>
        </w:rPr>
        <w:t xml:space="preserve">6. Business Relevance</w:t>
      </w:r>
    </w:p>
    <w:p>
      <w:pPr>
        <w:spacing w:after="200" w:line="360"/>
        <w:jc w:val="both"/>
      </w:pPr>
      <w:r>
        <w:rPr>
          <w:rFonts w:ascii="Times New Roman" w:cs="Times New Roman" w:eastAsia="Times New Roman" w:hAnsi="Times New Roman"/>
          <w:sz w:val="24"/>
          <w:szCs w:val="24"/>
        </w:rPr>
        <w:t xml:space="preserve">In the modern digital economy, data protection is one of the most important concerns for any business, especially an IT services company like TCS that handles sensitive client and employee information every day. A strong privacy policy is essential for maintaining trust and avoiding costly legal penalties.</w:t>
      </w:r>
    </w:p>
    <w:p>
      <w:pPr>
        <w:spacing w:after="100" w:before="150"/>
      </w:pPr>
      <w:r>
        <w:rPr>
          <w:rFonts w:ascii="Times New Roman" w:cs="Times New Roman" w:eastAsia="Times New Roman" w:hAnsi="Times New Roman"/>
          <w:b/>
          <w:bCs/>
          <w:sz w:val="28"/>
          <w:szCs w:val="28"/>
        </w:rPr>
        <w:t xml:space="preserve">Impact on Stakeholders</w:t>
      </w:r>
    </w:p>
    <w:p>
      <w:pPr>
        <w:pStyle w:val="ListParagraph"/>
        <w:numPr>
          <w:ilvl w:val="0"/>
          <w:numId w:val="1"/>
        </w:numPr>
        <w:spacing w:after="100" w:line="360"/>
      </w:pPr>
      <w:r>
        <w:rPr>
          <w:rFonts w:ascii="Times New Roman" w:cs="Times New Roman" w:eastAsia="Times New Roman" w:hAnsi="Times New Roman"/>
          <w:sz w:val="24"/>
          <w:szCs w:val="24"/>
        </w:rPr>
        <w:t xml:space="preserve">Employees feel more secure knowing their personal data is protected</w:t>
      </w:r>
    </w:p>
    <w:p>
      <w:pPr>
        <w:pStyle w:val="ListParagraph"/>
        <w:numPr>
          <w:ilvl w:val="0"/>
          <w:numId w:val="1"/>
        </w:numPr>
        <w:spacing w:after="100" w:line="360"/>
      </w:pPr>
      <w:r>
        <w:rPr>
          <w:rFonts w:ascii="Times New Roman" w:cs="Times New Roman" w:eastAsia="Times New Roman" w:hAnsi="Times New Roman"/>
          <w:sz w:val="24"/>
          <w:szCs w:val="24"/>
        </w:rPr>
        <w:t xml:space="preserve">Clients trust TCS with confidential business and customer data</w:t>
      </w:r>
    </w:p>
    <w:p>
      <w:pPr>
        <w:pStyle w:val="ListParagraph"/>
        <w:numPr>
          <w:ilvl w:val="0"/>
          <w:numId w:val="1"/>
        </w:numPr>
        <w:spacing w:after="100" w:line="360"/>
      </w:pPr>
      <w:r>
        <w:rPr>
          <w:rFonts w:ascii="Times New Roman" w:cs="Times New Roman" w:eastAsia="Times New Roman" w:hAnsi="Times New Roman"/>
          <w:sz w:val="24"/>
          <w:szCs w:val="24"/>
        </w:rPr>
        <w:t xml:space="preserve">Job applicants can share information with confidence during recruitment</w:t>
      </w:r>
    </w:p>
    <w:p>
      <w:pPr>
        <w:pStyle w:val="ListParagraph"/>
        <w:numPr>
          <w:ilvl w:val="0"/>
          <w:numId w:val="1"/>
        </w:numPr>
        <w:spacing w:after="100" w:line="360"/>
      </w:pPr>
      <w:r>
        <w:rPr>
          <w:rFonts w:ascii="Times New Roman" w:cs="Times New Roman" w:eastAsia="Times New Roman" w:hAnsi="Times New Roman"/>
          <w:sz w:val="24"/>
          <w:szCs w:val="24"/>
        </w:rPr>
        <w:t xml:space="preserve">The company avoids heavy fines linked to data protection violations</w:t>
      </w:r>
    </w:p>
    <w:p>
      <w:pPr>
        <w:spacing w:after="100" w:before="150"/>
      </w:pPr>
      <w:r>
        <w:rPr>
          <w:rFonts w:ascii="Times New Roman" w:cs="Times New Roman" w:eastAsia="Times New Roman" w:hAnsi="Times New Roman"/>
          <w:b/>
          <w:bCs/>
          <w:sz w:val="28"/>
          <w:szCs w:val="28"/>
        </w:rPr>
        <w:t xml:space="preserve">Contribution to Risk Management and Governance</w:t>
      </w:r>
    </w:p>
    <w:p>
      <w:pPr>
        <w:spacing w:after="200" w:line="360"/>
        <w:jc w:val="both"/>
      </w:pPr>
      <w:r>
        <w:rPr>
          <w:rFonts w:ascii="Times New Roman" w:cs="Times New Roman" w:eastAsia="Times New Roman" w:hAnsi="Times New Roman"/>
          <w:sz w:val="24"/>
          <w:szCs w:val="24"/>
        </w:rPr>
        <w:t xml:space="preserve">A well-managed privacy policy reduces the risk of data breaches, legal action, and reputational damage. It also strengthens corporate governance by clearly assigning responsibility for how personal data is collected, used, and protected across the organisation.</w:t>
      </w:r>
    </w:p>
    <w:p>
      <w:pPr>
        <w:spacing w:after="150" w:before="300"/>
      </w:pPr>
      <w:r>
        <w:rPr>
          <w:rFonts w:ascii="Times New Roman" w:cs="Times New Roman" w:eastAsia="Times New Roman" w:hAnsi="Times New Roman"/>
          <w:b/>
          <w:bCs/>
          <w:sz w:val="28"/>
          <w:szCs w:val="28"/>
        </w:rPr>
        <w:t xml:space="preserve">7. Recommendations</w:t>
      </w:r>
    </w:p>
    <w:p>
      <w:pPr>
        <w:pStyle w:val="ListParagraph"/>
        <w:numPr>
          <w:ilvl w:val="0"/>
          <w:numId w:val="1"/>
        </w:numPr>
        <w:spacing w:after="100" w:line="360"/>
      </w:pPr>
      <w:r>
        <w:rPr>
          <w:rFonts w:ascii="Times New Roman" w:cs="Times New Roman" w:eastAsia="Times New Roman" w:hAnsi="Times New Roman"/>
          <w:sz w:val="24"/>
          <w:szCs w:val="24"/>
        </w:rPr>
        <w:t xml:space="preserve">Provide a simple, single-page summary of privacy rights alongside the detailed legal notices, so employees and clients can understand their rights quickly</w:t>
      </w:r>
    </w:p>
    <w:p>
      <w:pPr>
        <w:pStyle w:val="ListParagraph"/>
        <w:numPr>
          <w:ilvl w:val="0"/>
          <w:numId w:val="1"/>
        </w:numPr>
        <w:spacing w:after="100" w:line="360"/>
      </w:pPr>
      <w:r>
        <w:rPr>
          <w:rFonts w:ascii="Times New Roman" w:cs="Times New Roman" w:eastAsia="Times New Roman" w:hAnsi="Times New Roman"/>
          <w:sz w:val="24"/>
          <w:szCs w:val="24"/>
        </w:rPr>
        <w:t xml:space="preserve">Conduct regular data protection training and refresher courses for all employees, not only those in technical roles</w:t>
      </w:r>
    </w:p>
    <w:p>
      <w:pPr>
        <w:pStyle w:val="ListParagraph"/>
        <w:numPr>
          <w:ilvl w:val="0"/>
          <w:numId w:val="1"/>
        </w:numPr>
        <w:spacing w:after="100" w:line="360"/>
      </w:pPr>
      <w:r>
        <w:rPr>
          <w:rFonts w:ascii="Times New Roman" w:cs="Times New Roman" w:eastAsia="Times New Roman" w:hAnsi="Times New Roman"/>
          <w:sz w:val="24"/>
          <w:szCs w:val="24"/>
        </w:rPr>
        <w:t xml:space="preserve">Carry out periodic audits of vendors and partners to confirm they are genuinely following TCS's privacy standards</w:t>
      </w:r>
    </w:p>
    <w:p>
      <w:pPr>
        <w:pStyle w:val="ListParagraph"/>
        <w:numPr>
          <w:ilvl w:val="0"/>
          <w:numId w:val="1"/>
        </w:numPr>
        <w:spacing w:after="100" w:line="360"/>
      </w:pPr>
      <w:r>
        <w:rPr>
          <w:rFonts w:ascii="Times New Roman" w:cs="Times New Roman" w:eastAsia="Times New Roman" w:hAnsi="Times New Roman"/>
          <w:sz w:val="24"/>
          <w:szCs w:val="24"/>
        </w:rPr>
        <w:t xml:space="preserve">Use automated tools to monitor unusual access to personal data and detect possible breaches early</w:t>
      </w:r>
    </w:p>
    <w:p>
      <w:pPr>
        <w:pStyle w:val="ListParagraph"/>
        <w:numPr>
          <w:ilvl w:val="0"/>
          <w:numId w:val="1"/>
        </w:numPr>
        <w:spacing w:after="100" w:line="360"/>
      </w:pPr>
      <w:r>
        <w:rPr>
          <w:rFonts w:ascii="Times New Roman" w:cs="Times New Roman" w:eastAsia="Times New Roman" w:hAnsi="Times New Roman"/>
          <w:sz w:val="24"/>
          <w:szCs w:val="24"/>
        </w:rPr>
        <w:t xml:space="preserve">Continue updating regional privacy notices promptly whenever local data protection laws change</w:t>
      </w:r>
    </w:p>
    <w:p>
      <w:pPr>
        <w:spacing w:after="150" w:before="300"/>
      </w:pPr>
      <w:r>
        <w:rPr>
          <w:rFonts w:ascii="Times New Roman" w:cs="Times New Roman" w:eastAsia="Times New Roman" w:hAnsi="Times New Roman"/>
          <w:b/>
          <w:bCs/>
          <w:sz w:val="28"/>
          <w:szCs w:val="28"/>
        </w:rPr>
        <w:t xml:space="preserve">8. Conclusion</w:t>
      </w:r>
    </w:p>
    <w:p>
      <w:pPr>
        <w:spacing w:after="200" w:line="360"/>
        <w:jc w:val="both"/>
      </w:pPr>
      <w:r>
        <w:rPr>
          <w:rFonts w:ascii="Times New Roman" w:cs="Times New Roman" w:eastAsia="Times New Roman" w:hAnsi="Times New Roman"/>
          <w:sz w:val="24"/>
          <w:szCs w:val="24"/>
        </w:rPr>
        <w:t xml:space="preserve">The TCS Privacy Policy is a detailed and well-structured framework that reflects the company's responsibility to protect personal data across a large, global operation. It is closely aligned with international laws such as GDPR and supported by strong security measures and clear governance mechanisms.</w:t>
      </w:r>
    </w:p>
    <w:p>
      <w:pPr>
        <w:spacing w:after="200" w:line="360"/>
        <w:jc w:val="both"/>
      </w:pPr>
      <w:r>
        <w:rPr>
          <w:rFonts w:ascii="Times New Roman" w:cs="Times New Roman" w:eastAsia="Times New Roman" w:hAnsi="Times New Roman"/>
          <w:sz w:val="24"/>
          <w:szCs w:val="24"/>
        </w:rPr>
        <w:t xml:space="preserve">From this review, it is clear that data protection is not just a legal requirement but a business necessity in the IT services industry. TCS's approach of combining a global policy with region-specific notices shows a thoughtful effort to meet different legal standards around the world.</w:t>
      </w:r>
    </w:p>
    <w:p>
      <w:pPr>
        <w:spacing w:after="200" w:line="360"/>
        <w:jc w:val="both"/>
      </w:pPr>
      <w:r>
        <w:rPr>
          <w:rFonts w:ascii="Times New Roman" w:cs="Times New Roman" w:eastAsia="Times New Roman" w:hAnsi="Times New Roman"/>
          <w:sz w:val="24"/>
          <w:szCs w:val="24"/>
        </w:rPr>
        <w:t xml:space="preserve">Overall, this review highlights that a strong privacy and data protection policy builds trust with employees, clients, and partners, and plays a key role in protecting a company's reputation and long-term success.</w:t>
      </w:r>
    </w:p>
    <w:p>
      <w:pPr>
        <w:spacing w:after="150" w:before="300"/>
      </w:pPr>
      <w:r>
        <w:rPr>
          <w:rFonts w:ascii="Times New Roman" w:cs="Times New Roman" w:eastAsia="Times New Roman" w:hAnsi="Times New Roman"/>
          <w:b/>
          <w:bCs/>
          <w:sz w:val="28"/>
          <w:szCs w:val="28"/>
        </w:rPr>
        <w:t xml:space="preserve">9. References</w:t>
      </w:r>
    </w:p>
    <w:p>
      <w:pPr>
        <w:pStyle w:val="ListParagraph"/>
        <w:numPr>
          <w:ilvl w:val="0"/>
          <w:numId w:val="1"/>
        </w:numPr>
        <w:spacing w:after="100" w:line="360"/>
      </w:pPr>
      <w:r>
        <w:rPr>
          <w:rFonts w:ascii="Times New Roman" w:cs="Times New Roman" w:eastAsia="Times New Roman" w:hAnsi="Times New Roman"/>
          <w:sz w:val="24"/>
          <w:szCs w:val="24"/>
        </w:rPr>
        <w:t xml:space="preserve">Tata Consultancy Services. Privacy Policy Commitment. Available at: https://www.tcs.com/privacy-policy-commitment</w:t>
      </w:r>
    </w:p>
    <w:p>
      <w:pPr>
        <w:pStyle w:val="ListParagraph"/>
        <w:numPr>
          <w:ilvl w:val="0"/>
          <w:numId w:val="1"/>
        </w:numPr>
        <w:spacing w:after="100" w:line="360"/>
      </w:pPr>
      <w:r>
        <w:rPr>
          <w:rFonts w:ascii="Times New Roman" w:cs="Times New Roman" w:eastAsia="Times New Roman" w:hAnsi="Times New Roman"/>
          <w:sz w:val="24"/>
          <w:szCs w:val="24"/>
        </w:rPr>
        <w:t xml:space="preserve">Tata Consultancy Services. TCS Privacy Policy. Available at: https://tcs.com/privacy-policy</w:t>
      </w:r>
    </w:p>
    <w:p>
      <w:pPr>
        <w:pStyle w:val="ListParagraph"/>
        <w:numPr>
          <w:ilvl w:val="0"/>
          <w:numId w:val="1"/>
        </w:numPr>
        <w:spacing w:after="100" w:line="360"/>
      </w:pPr>
      <w:r>
        <w:rPr>
          <w:rFonts w:ascii="Times New Roman" w:cs="Times New Roman" w:eastAsia="Times New Roman" w:hAnsi="Times New Roman"/>
          <w:sz w:val="24"/>
          <w:szCs w:val="24"/>
        </w:rPr>
        <w:t xml:space="preserve">Tata Consultancy Services. Candidate Privacy Notice, France, FY27.</w:t>
      </w:r>
    </w:p>
    <w:p>
      <w:pPr>
        <w:pStyle w:val="ListParagraph"/>
        <w:numPr>
          <w:ilvl w:val="0"/>
          <w:numId w:val="1"/>
        </w:numPr>
        <w:spacing w:after="100" w:line="360"/>
      </w:pPr>
      <w:r>
        <w:rPr>
          <w:rFonts w:ascii="Times New Roman" w:cs="Times New Roman" w:eastAsia="Times New Roman" w:hAnsi="Times New Roman"/>
          <w:sz w:val="24"/>
          <w:szCs w:val="24"/>
        </w:rPr>
        <w:t xml:space="preserve">Tata Consultancy Services. Privacy Policy, Australia and South Africa editions.</w:t>
      </w:r>
    </w:p>
    <w:p>
      <w:pPr>
        <w:pStyle w:val="ListParagraph"/>
        <w:numPr>
          <w:ilvl w:val="0"/>
          <w:numId w:val="1"/>
        </w:numPr>
        <w:spacing w:after="100" w:line="360"/>
      </w:pPr>
      <w:r>
        <w:rPr>
          <w:rFonts w:ascii="Times New Roman" w:cs="Times New Roman" w:eastAsia="Times New Roman" w:hAnsi="Times New Roman"/>
          <w:sz w:val="24"/>
          <w:szCs w:val="24"/>
        </w:rPr>
        <w:t xml:space="preserve">General Data Protection Regulation (EU) 2016/679 (GDPR).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2026-09-25T08:51:51.017Z</dcterms:created>
  <dcterms:modified xsi:type="dcterms:W3CDTF">2026-09-25T08:51:51.024Z</dcterms:modified>
</cp:coreProperties>
</file>

<file path=docProps/custom.xml><?xml version="1.0" encoding="utf-8"?>
<Properties xmlns="http://schemas.openxmlformats.org/officeDocument/2006/custom-properties" xmlns:vt="http://schemas.openxmlformats.org/officeDocument/2006/docPropsVTypes"/>
</file>