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4B14" w14:textId="77777777" w:rsidR="001515F2" w:rsidRDefault="001515F2">
      <w:pPr>
        <w:spacing w:before="1600"/>
      </w:pPr>
    </w:p>
    <w:p w14:paraId="7B74F93B" w14:textId="77777777" w:rsidR="001515F2" w:rsidRDefault="005C104D">
      <w:pPr>
        <w:spacing w:after="240"/>
        <w:jc w:val="center"/>
      </w:pPr>
      <w:r>
        <w:rPr>
          <w:b/>
          <w:bCs/>
          <w:sz w:val="32"/>
          <w:szCs w:val="32"/>
        </w:rPr>
        <w:t>CASE ANALYSIS REPORT</w:t>
      </w:r>
    </w:p>
    <w:p w14:paraId="518A4AC3" w14:textId="77777777" w:rsidR="001515F2" w:rsidRDefault="005C104D">
      <w:pPr>
        <w:spacing w:after="3600"/>
        <w:jc w:val="center"/>
      </w:pPr>
      <w:r>
        <w:rPr>
          <w:b/>
          <w:bCs/>
          <w:i/>
          <w:iCs/>
          <w:sz w:val="28"/>
          <w:szCs w:val="28"/>
        </w:rPr>
        <w:t>Hadley v Baxendale (1854) 9 Exch 341</w:t>
      </w:r>
    </w:p>
    <w:p w14:paraId="4162FE45" w14:textId="77777777" w:rsidR="001515F2" w:rsidRDefault="005C104D">
      <w:pPr>
        <w:spacing w:after="220"/>
        <w:jc w:val="center"/>
      </w:pPr>
      <w:r>
        <w:t>Student Name: Manoj Kumar K</w:t>
      </w:r>
    </w:p>
    <w:p w14:paraId="0DC17855" w14:textId="77777777" w:rsidR="001515F2" w:rsidRDefault="005C104D">
      <w:pPr>
        <w:spacing w:after="220"/>
        <w:jc w:val="center"/>
      </w:pPr>
      <w:r>
        <w:t>Register Number: 5272510210</w:t>
      </w:r>
    </w:p>
    <w:p w14:paraId="65D60CF3" w14:textId="15F55E84" w:rsidR="001515F2" w:rsidRDefault="005C104D" w:rsidP="00E22DAB">
      <w:pPr>
        <w:spacing w:after="220"/>
        <w:jc w:val="center"/>
      </w:pPr>
      <w:r>
        <w:t>Title: Case Analysis — Hadley v Baxendale (1854)</w:t>
      </w:r>
    </w:p>
    <w:p w14:paraId="5FBBC1FB" w14:textId="77777777" w:rsidR="001515F2" w:rsidRDefault="005C104D">
      <w:r>
        <w:br w:type="page"/>
      </w:r>
    </w:p>
    <w:p w14:paraId="410DB61E" w14:textId="77777777" w:rsidR="001515F2" w:rsidRDefault="001515F2">
      <w:pPr>
        <w:sectPr w:rsidR="001515F2">
          <w:pgSz w:w="12240" w:h="15840"/>
          <w:pgMar w:top="1440" w:right="1440" w:bottom="1440" w:left="1440" w:header="708" w:footer="708" w:gutter="0"/>
          <w:cols w:space="720"/>
          <w:docGrid w:linePitch="360"/>
        </w:sectPr>
      </w:pPr>
    </w:p>
    <w:p w14:paraId="46106102" w14:textId="77777777" w:rsidR="001515F2" w:rsidRDefault="005C104D">
      <w:pPr>
        <w:pStyle w:val="Heading1"/>
        <w:spacing w:before="320" w:after="160"/>
      </w:pPr>
      <w:r>
        <w:rPr>
          <w:b/>
          <w:bCs/>
          <w:color w:val="000000"/>
          <w:sz w:val="28"/>
          <w:szCs w:val="28"/>
        </w:rPr>
        <w:lastRenderedPageBreak/>
        <w:t>1. Introduction</w:t>
      </w:r>
    </w:p>
    <w:p w14:paraId="7D6667D5" w14:textId="77777777" w:rsidR="001515F2" w:rsidRDefault="005C104D">
      <w:pPr>
        <w:pStyle w:val="Heading2"/>
        <w:spacing w:before="220" w:after="120"/>
      </w:pPr>
      <w:r>
        <w:rPr>
          <w:b/>
          <w:bCs/>
          <w:color w:val="000000"/>
          <w:sz w:val="24"/>
          <w:szCs w:val="24"/>
        </w:rPr>
        <w:t>1.1 Case Citation &amp; Jurisdiction</w:t>
      </w:r>
    </w:p>
    <w:p w14:paraId="5CAA5BFA" w14:textId="77777777" w:rsidR="001515F2" w:rsidRDefault="005C104D">
      <w:pPr>
        <w:pStyle w:val="ListParagraph"/>
        <w:numPr>
          <w:ilvl w:val="0"/>
          <w:numId w:val="2"/>
        </w:numPr>
        <w:spacing w:after="100" w:line="290" w:lineRule="auto"/>
        <w:jc w:val="both"/>
      </w:pPr>
      <w:r>
        <w:t>Case Name: Hadley v Baxendale</w:t>
      </w:r>
    </w:p>
    <w:p w14:paraId="0E975A91" w14:textId="77777777" w:rsidR="001515F2" w:rsidRDefault="005C104D">
      <w:pPr>
        <w:pStyle w:val="ListParagraph"/>
        <w:numPr>
          <w:ilvl w:val="0"/>
          <w:numId w:val="2"/>
        </w:numPr>
        <w:spacing w:after="100" w:line="290" w:lineRule="auto"/>
        <w:jc w:val="both"/>
      </w:pPr>
      <w:r>
        <w:t>Citation: (1854) 9 Exch 341; 156 ER 145</w:t>
      </w:r>
    </w:p>
    <w:p w14:paraId="5F7A30DC" w14:textId="77777777" w:rsidR="001515F2" w:rsidRDefault="005C104D">
      <w:pPr>
        <w:pStyle w:val="ListParagraph"/>
        <w:numPr>
          <w:ilvl w:val="0"/>
          <w:numId w:val="2"/>
        </w:numPr>
        <w:spacing w:after="100" w:line="290" w:lineRule="auto"/>
        <w:jc w:val="both"/>
      </w:pPr>
      <w:r>
        <w:t>Court: Court of Exchequer (England)</w:t>
      </w:r>
    </w:p>
    <w:p w14:paraId="6DB14CFF" w14:textId="77777777" w:rsidR="001515F2" w:rsidRDefault="005C104D">
      <w:pPr>
        <w:pStyle w:val="ListParagraph"/>
        <w:numPr>
          <w:ilvl w:val="0"/>
          <w:numId w:val="2"/>
        </w:numPr>
        <w:spacing w:after="100" w:line="290" w:lineRule="auto"/>
        <w:jc w:val="both"/>
      </w:pPr>
      <w:r>
        <w:t>Bench: Judgment delivered by Alderson B, sitting with the other Barons of the Exchequer</w:t>
      </w:r>
    </w:p>
    <w:p w14:paraId="45E3D41D" w14:textId="77777777" w:rsidR="001515F2" w:rsidRDefault="005C104D">
      <w:pPr>
        <w:pStyle w:val="ListParagraph"/>
        <w:numPr>
          <w:ilvl w:val="0"/>
          <w:numId w:val="2"/>
        </w:numPr>
        <w:spacing w:after="100" w:line="290" w:lineRule="auto"/>
        <w:jc w:val="both"/>
      </w:pPr>
      <w:r>
        <w:t>Year of Judgment: 1854</w:t>
      </w:r>
    </w:p>
    <w:p w14:paraId="504D3194" w14:textId="77777777" w:rsidR="001515F2" w:rsidRDefault="005C104D">
      <w:pPr>
        <w:pStyle w:val="ListParagraph"/>
        <w:numPr>
          <w:ilvl w:val="0"/>
          <w:numId w:val="2"/>
        </w:numPr>
        <w:spacing w:after="100" w:line="290" w:lineRule="auto"/>
        <w:jc w:val="both"/>
      </w:pPr>
      <w:r>
        <w:t>Prior Proceedings: At the assizes, the jury had found in favour of Hadley and awarded damages that included the mill's lost profits for the period of delay; Baxendale sought a new trial on the ground that the jury had been misdirected as to the proper measure of damages.</w:t>
      </w:r>
    </w:p>
    <w:p w14:paraId="3C73DAD3" w14:textId="77777777" w:rsidR="001515F2" w:rsidRDefault="005C104D">
      <w:pPr>
        <w:pStyle w:val="Heading2"/>
        <w:spacing w:before="220" w:after="120"/>
      </w:pPr>
      <w:r>
        <w:rPr>
          <w:b/>
          <w:bCs/>
          <w:color w:val="000000"/>
          <w:sz w:val="24"/>
          <w:szCs w:val="24"/>
        </w:rPr>
        <w:t>1.2 Brief Introduction to the Case</w:t>
      </w:r>
    </w:p>
    <w:p w14:paraId="439EA53F" w14:textId="77777777" w:rsidR="001515F2" w:rsidRDefault="005C104D">
      <w:pPr>
        <w:spacing w:after="160" w:line="300" w:lineRule="auto"/>
        <w:jc w:val="both"/>
      </w:pPr>
      <w:r>
        <w:t>Hadley v Baxendale is the foundational decision on the measure of damages for breach of contract in English law and remains one of the first cases encountered by every student of contract law. The dispute arose when a mill owner, Hadley, engaged a firm of common carriers, run by Baxendale, to transport a broken mill crankshaft to an engineering works so that a replacement could be built. The carrier's delay in delivering the shaft kept the mill closed for several additional days, and Hadley sued to recover the profits lost during that period.</w:t>
      </w:r>
    </w:p>
    <w:p w14:paraId="38363E80" w14:textId="77777777" w:rsidR="001515F2" w:rsidRDefault="005C104D">
      <w:pPr>
        <w:spacing w:after="160" w:line="300" w:lineRule="auto"/>
        <w:jc w:val="both"/>
      </w:pPr>
      <w:r>
        <w:t>At its heart, the case asks a foundational question of contract law: when a party breaches a contract, is it liable for every loss that flows from that breach, however unusual or unforeseen, or only for losses of a kind the parties could reasonably have anticipated when they made their bargain? The Court of Exchequer's answer — that liability is limited to loss that either arises naturally from the breach or was specifically communicated to the defendant at the time of contracting — created the foreseeability rule that continues to govern the assessment of contractual damages in England, the United States, and throughout the common law world.</w:t>
      </w:r>
    </w:p>
    <w:p w14:paraId="14087B76" w14:textId="77777777" w:rsidR="001515F2" w:rsidRDefault="005C104D">
      <w:pPr>
        <w:pStyle w:val="Heading1"/>
        <w:spacing w:before="320" w:after="160"/>
      </w:pPr>
      <w:r>
        <w:rPr>
          <w:b/>
          <w:bCs/>
          <w:color w:val="000000"/>
          <w:sz w:val="28"/>
          <w:szCs w:val="28"/>
        </w:rPr>
        <w:t>2. Facts of the Case</w:t>
      </w:r>
    </w:p>
    <w:p w14:paraId="247511DF" w14:textId="77777777" w:rsidR="001515F2" w:rsidRDefault="005C104D">
      <w:pPr>
        <w:pStyle w:val="Heading2"/>
        <w:spacing w:before="220" w:after="120"/>
      </w:pPr>
      <w:r>
        <w:rPr>
          <w:b/>
          <w:bCs/>
          <w:color w:val="000000"/>
          <w:sz w:val="24"/>
          <w:szCs w:val="24"/>
        </w:rPr>
        <w:t>2.1 Chronological Summary of Events</w:t>
      </w:r>
    </w:p>
    <w:p w14:paraId="3A3B4DBC" w14:textId="77777777" w:rsidR="001515F2" w:rsidRDefault="005C104D">
      <w:pPr>
        <w:pStyle w:val="ListParagraph"/>
        <w:numPr>
          <w:ilvl w:val="0"/>
          <w:numId w:val="2"/>
        </w:numPr>
        <w:spacing w:after="100" w:line="290" w:lineRule="auto"/>
        <w:jc w:val="both"/>
      </w:pPr>
      <w:r>
        <w:t>Hadley owned and operated a corn mill in Gloucester, England. The mill's steam engine suffered a broken crankshaft, a critical component whose failure brought the entire milling operation to a complete halt.</w:t>
      </w:r>
    </w:p>
    <w:p w14:paraId="10220835" w14:textId="77777777" w:rsidR="001515F2" w:rsidRDefault="005C104D">
      <w:pPr>
        <w:pStyle w:val="ListParagraph"/>
        <w:numPr>
          <w:ilvl w:val="0"/>
          <w:numId w:val="2"/>
        </w:numPr>
        <w:spacing w:after="100" w:line="290" w:lineRule="auto"/>
        <w:jc w:val="both"/>
      </w:pPr>
      <w:r>
        <w:lastRenderedPageBreak/>
        <w:t>To resume operations, Hadley needed a new crankshaft built to match the broken one, and the broken shaft had to be sent to the manufacturer, W. Joyce &amp; Co., to serve as a pattern for the replacement.</w:t>
      </w:r>
    </w:p>
    <w:p w14:paraId="04A183BE" w14:textId="77777777" w:rsidR="001515F2" w:rsidRDefault="005C104D">
      <w:pPr>
        <w:pStyle w:val="ListParagraph"/>
        <w:numPr>
          <w:ilvl w:val="0"/>
          <w:numId w:val="2"/>
        </w:numPr>
        <w:spacing w:after="100" w:line="290" w:lineRule="auto"/>
        <w:jc w:val="both"/>
      </w:pPr>
      <w:r>
        <w:t>Hadley engaged Pickford &amp; Company, a firm of common carriers owned by Baxendale, to transport the broken crankshaft to the manufacturer. He paid for expedited carriage, and Pickford's clerk promised that the shaft would be delivered by the following day.</w:t>
      </w:r>
    </w:p>
    <w:p w14:paraId="4347C320" w14:textId="77777777" w:rsidR="001515F2" w:rsidRDefault="005C104D">
      <w:pPr>
        <w:pStyle w:val="ListParagraph"/>
        <w:numPr>
          <w:ilvl w:val="0"/>
          <w:numId w:val="2"/>
        </w:numPr>
        <w:spacing w:after="100" w:line="290" w:lineRule="auto"/>
        <w:jc w:val="both"/>
      </w:pPr>
      <w:r>
        <w:t>Due to the carrier's neglect, delivery of the shaft was significantly delayed beyond the promised timeframe, and as a direct result, the mill remained shut down for five additional days beyond what would otherwise have been necessary.</w:t>
      </w:r>
    </w:p>
    <w:p w14:paraId="331577D2" w14:textId="77777777" w:rsidR="001515F2" w:rsidRDefault="005C104D">
      <w:pPr>
        <w:pStyle w:val="ListParagraph"/>
        <w:numPr>
          <w:ilvl w:val="0"/>
          <w:numId w:val="2"/>
        </w:numPr>
        <w:spacing w:after="100" w:line="290" w:lineRule="auto"/>
        <w:jc w:val="both"/>
      </w:pPr>
      <w:r>
        <w:t>Hadley sued Baxendale for breach of the carriage contract, seeking damages for the profits the mill lost during those five extra days of enforced closure.</w:t>
      </w:r>
    </w:p>
    <w:p w14:paraId="59A27AEB" w14:textId="77777777" w:rsidR="001515F2" w:rsidRDefault="005C104D">
      <w:pPr>
        <w:pStyle w:val="ListParagraph"/>
        <w:numPr>
          <w:ilvl w:val="0"/>
          <w:numId w:val="2"/>
        </w:numPr>
        <w:spacing w:after="100" w:line="290" w:lineRule="auto"/>
        <w:jc w:val="both"/>
      </w:pPr>
      <w:r>
        <w:t>At trial, the jury found in Hadley's favour and awarded damages that included compensation for the mill's lost profits, applying a broad measure of loss flowing from the delay.</w:t>
      </w:r>
    </w:p>
    <w:p w14:paraId="49527C16" w14:textId="77777777" w:rsidR="001515F2" w:rsidRDefault="005C104D">
      <w:pPr>
        <w:pStyle w:val="ListParagraph"/>
        <w:numPr>
          <w:ilvl w:val="0"/>
          <w:numId w:val="2"/>
        </w:numPr>
        <w:spacing w:after="100" w:line="290" w:lineRule="auto"/>
        <w:jc w:val="both"/>
      </w:pPr>
      <w:r>
        <w:t>Baxendale sought a new trial, arguing that the trial judge had misdirected the jury: the loss of profits, he contended, was not a loss the carrier could reasonably have anticipated from a routine carriage contract, and it was therefore an inappropriate basis for damages.</w:t>
      </w:r>
    </w:p>
    <w:p w14:paraId="7C6F3559" w14:textId="77777777" w:rsidR="001515F2" w:rsidRDefault="005C104D">
      <w:pPr>
        <w:pStyle w:val="ListParagraph"/>
        <w:numPr>
          <w:ilvl w:val="0"/>
          <w:numId w:val="2"/>
        </w:numPr>
        <w:spacing w:after="100" w:line="290" w:lineRule="auto"/>
        <w:jc w:val="both"/>
      </w:pPr>
      <w:r>
        <w:t>The matter came before the Court of Exchequer, which had to decide whether the broad measure of damages awarded at trial was legally correct.</w:t>
      </w:r>
    </w:p>
    <w:p w14:paraId="515EA3F9" w14:textId="77777777" w:rsidR="001515F2" w:rsidRDefault="005C104D">
      <w:pPr>
        <w:pStyle w:val="Heading2"/>
        <w:spacing w:before="220" w:after="120"/>
      </w:pPr>
      <w:r>
        <w:rPr>
          <w:b/>
          <w:bCs/>
          <w:color w:val="000000"/>
          <w:sz w:val="24"/>
          <w:szCs w:val="24"/>
        </w:rPr>
        <w:t>2.2 Material Commercial Context</w:t>
      </w:r>
    </w:p>
    <w:p w14:paraId="36C55F0D" w14:textId="77777777" w:rsidR="001515F2" w:rsidRDefault="005C104D">
      <w:pPr>
        <w:spacing w:after="160" w:line="300" w:lineRule="auto"/>
        <w:jc w:val="both"/>
      </w:pPr>
      <w:r>
        <w:t>The underlying transaction was an ordinary contract of carriage — a common commercial arrangement in nineteenth-century England, where carriers such as Pickford &amp; Company routinely transported goods, parts, and machinery between industrial premises and manufacturers on a fee-paying basis.</w:t>
      </w:r>
    </w:p>
    <w:p w14:paraId="4CDC3629" w14:textId="77777777" w:rsidR="001515F2" w:rsidRDefault="005C104D">
      <w:pPr>
        <w:pStyle w:val="ListParagraph"/>
        <w:numPr>
          <w:ilvl w:val="0"/>
          <w:numId w:val="2"/>
        </w:numPr>
        <w:spacing w:after="100" w:line="290" w:lineRule="auto"/>
        <w:jc w:val="both"/>
      </w:pPr>
      <w:r>
        <w:t>Milling was a time-sensitive commercial operation: every day the mill remained closed represented a direct loss of production and profit, but this vulnerability was not something the carrier could necessarily have known simply from being asked to carry a broken machine part.</w:t>
      </w:r>
    </w:p>
    <w:p w14:paraId="3716A4D4" w14:textId="77777777" w:rsidR="001515F2" w:rsidRDefault="005C104D">
      <w:pPr>
        <w:pStyle w:val="ListParagraph"/>
        <w:numPr>
          <w:ilvl w:val="0"/>
          <w:numId w:val="2"/>
        </w:numPr>
        <w:spacing w:after="100" w:line="290" w:lineRule="auto"/>
        <w:jc w:val="both"/>
      </w:pPr>
      <w:r>
        <w:t>The contract between Hadley and Pickford was a standard carriage agreement, with an added element of urgency — Hadley paid extra for expedited delivery and was promised delivery by the next day — but no specific information was communicated about the extent or nature of the mill's dependency on that single shaft.</w:t>
      </w:r>
    </w:p>
    <w:p w14:paraId="7ABE1C00" w14:textId="77777777" w:rsidR="001515F2" w:rsidRDefault="005C104D">
      <w:pPr>
        <w:pStyle w:val="ListParagraph"/>
        <w:numPr>
          <w:ilvl w:val="0"/>
          <w:numId w:val="2"/>
        </w:numPr>
        <w:spacing w:after="100" w:line="290" w:lineRule="auto"/>
        <w:jc w:val="both"/>
      </w:pPr>
      <w:r>
        <w:t>This commercial setting is central to the court's reasoning: because carriers deal with a huge range of customers and cargo, the law needed a workable rule to determine which categories of loss a carrier should reasonably price into, and bear the risk for, when contracting to carry goods without special instructions.</w:t>
      </w:r>
    </w:p>
    <w:p w14:paraId="7737013E" w14:textId="1024E1B3" w:rsidR="001515F2" w:rsidRDefault="005C104D" w:rsidP="00E22DAB">
      <w:r>
        <w:br w:type="page"/>
      </w:r>
      <w:r>
        <w:rPr>
          <w:b/>
          <w:bCs/>
          <w:color w:val="000000"/>
          <w:sz w:val="28"/>
          <w:szCs w:val="28"/>
        </w:rPr>
        <w:lastRenderedPageBreak/>
        <w:t>3. Legal Issue</w:t>
      </w:r>
    </w:p>
    <w:p w14:paraId="1437A3E8" w14:textId="77777777" w:rsidR="001515F2" w:rsidRDefault="005C104D">
      <w:pPr>
        <w:pStyle w:val="Heading2"/>
        <w:spacing w:before="220" w:after="120"/>
      </w:pPr>
      <w:r>
        <w:rPr>
          <w:b/>
          <w:bCs/>
          <w:color w:val="000000"/>
          <w:sz w:val="24"/>
          <w:szCs w:val="24"/>
        </w:rPr>
        <w:t>3.1 Primary Question of Law</w:t>
      </w:r>
    </w:p>
    <w:p w14:paraId="3597C2D7" w14:textId="77777777" w:rsidR="001515F2" w:rsidRDefault="005C104D">
      <w:pPr>
        <w:spacing w:after="160" w:line="300" w:lineRule="auto"/>
        <w:jc w:val="both"/>
      </w:pPr>
      <w:r>
        <w:t>Whether a party who breaches a contract can be held liable for all consequential losses flowing from that breach — including losses, such as lost profits, that were not foreseeable or specifically communicated at the time the contract was formed.</w:t>
      </w:r>
    </w:p>
    <w:p w14:paraId="1A1A777E" w14:textId="77777777" w:rsidR="001515F2" w:rsidRDefault="005C104D">
      <w:pPr>
        <w:spacing w:after="160" w:line="300" w:lineRule="auto"/>
        <w:jc w:val="both"/>
      </w:pPr>
      <w:r>
        <w:t>This primary question resolved itself, before the Court of Exchequer, into three distinct sub-issues:</w:t>
      </w:r>
    </w:p>
    <w:p w14:paraId="0466D7E5" w14:textId="77777777" w:rsidR="001515F2" w:rsidRDefault="005C104D">
      <w:pPr>
        <w:pStyle w:val="ListParagraph"/>
        <w:numPr>
          <w:ilvl w:val="0"/>
          <w:numId w:val="2"/>
        </w:numPr>
        <w:spacing w:after="100" w:line="290" w:lineRule="auto"/>
        <w:jc w:val="both"/>
      </w:pPr>
      <w:r>
        <w:t>What is the correct general measure of damages recoverable for breach of a commercial contract such as a contract of carriage?</w:t>
      </w:r>
    </w:p>
    <w:p w14:paraId="78752BBA" w14:textId="77777777" w:rsidR="001515F2" w:rsidRDefault="005C104D">
      <w:pPr>
        <w:pStyle w:val="ListParagraph"/>
        <w:numPr>
          <w:ilvl w:val="0"/>
          <w:numId w:val="2"/>
        </w:numPr>
        <w:spacing w:after="100" w:line="290" w:lineRule="auto"/>
        <w:jc w:val="both"/>
      </w:pPr>
      <w:r>
        <w:t>Whether a request for expedited delivery, without more, gives a carrier sufficient notice that a delay will cause extraordinary loss such as a total shutdown of the customer's business.</w:t>
      </w:r>
    </w:p>
    <w:p w14:paraId="421B7FF9" w14:textId="77777777" w:rsidR="001515F2" w:rsidRDefault="005C104D">
      <w:pPr>
        <w:pStyle w:val="ListParagraph"/>
        <w:numPr>
          <w:ilvl w:val="0"/>
          <w:numId w:val="2"/>
        </w:numPr>
        <w:spacing w:after="100" w:line="290" w:lineRule="auto"/>
        <w:jc w:val="both"/>
      </w:pPr>
      <w:r>
        <w:t>Whether the trial judge's direction to the jury, which permitted the broad recovery of lost profits without regard to foreseeability, was a correct statement of the law.</w:t>
      </w:r>
    </w:p>
    <w:p w14:paraId="3409419C" w14:textId="77777777" w:rsidR="001515F2" w:rsidRDefault="005C104D">
      <w:pPr>
        <w:pStyle w:val="Heading2"/>
        <w:spacing w:before="220" w:after="120"/>
      </w:pPr>
      <w:r>
        <w:rPr>
          <w:b/>
          <w:bCs/>
          <w:color w:val="000000"/>
          <w:sz w:val="24"/>
          <w:szCs w:val="24"/>
        </w:rPr>
        <w:t>3.2 Points of Contention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515F2" w14:paraId="61E23E74" w14:textId="77777777">
        <w:trPr>
          <w:tblHeader/>
        </w:trPr>
        <w:tc>
          <w:tcPr>
            <w:tcW w:w="2500" w:type="pct"/>
            <w:shd w:val="clear" w:color="auto" w:fill="D9D9D9"/>
            <w:tcMar>
              <w:top w:w="100" w:type="dxa"/>
              <w:left w:w="120" w:type="dxa"/>
              <w:bottom w:w="100" w:type="dxa"/>
              <w:right w:w="120" w:type="dxa"/>
            </w:tcMar>
            <w:vAlign w:val="center"/>
          </w:tcPr>
          <w:p w14:paraId="6226C274" w14:textId="77777777" w:rsidR="001515F2" w:rsidRDefault="005C104D">
            <w:r>
              <w:rPr>
                <w:b/>
                <w:bCs/>
              </w:rPr>
              <w:t>Party</w:t>
            </w:r>
          </w:p>
        </w:tc>
        <w:tc>
          <w:tcPr>
            <w:tcW w:w="2500" w:type="pct"/>
            <w:shd w:val="clear" w:color="auto" w:fill="D9D9D9"/>
            <w:tcMar>
              <w:top w:w="100" w:type="dxa"/>
              <w:left w:w="120" w:type="dxa"/>
              <w:bottom w:w="100" w:type="dxa"/>
              <w:right w:w="120" w:type="dxa"/>
            </w:tcMar>
            <w:vAlign w:val="center"/>
          </w:tcPr>
          <w:p w14:paraId="03FED29B" w14:textId="77777777" w:rsidR="001515F2" w:rsidRDefault="005C104D">
            <w:r>
              <w:rPr>
                <w:b/>
                <w:bCs/>
              </w:rPr>
              <w:t>Argument</w:t>
            </w:r>
          </w:p>
        </w:tc>
      </w:tr>
      <w:tr w:rsidR="001515F2" w14:paraId="07603C93" w14:textId="77777777">
        <w:tc>
          <w:tcPr>
            <w:tcW w:w="2500" w:type="pct"/>
            <w:tcMar>
              <w:top w:w="100" w:type="dxa"/>
              <w:left w:w="120" w:type="dxa"/>
              <w:bottom w:w="100" w:type="dxa"/>
              <w:right w:w="120" w:type="dxa"/>
            </w:tcMar>
          </w:tcPr>
          <w:p w14:paraId="3F82C02F" w14:textId="77777777" w:rsidR="001515F2" w:rsidRDefault="005C104D">
            <w:pPr>
              <w:jc w:val="both"/>
            </w:pPr>
            <w:r>
              <w:rPr>
                <w:b/>
                <w:bCs/>
              </w:rPr>
              <w:t>Hadley (Claimant)</w:t>
            </w:r>
          </w:p>
        </w:tc>
        <w:tc>
          <w:tcPr>
            <w:tcW w:w="2500" w:type="pct"/>
            <w:tcMar>
              <w:top w:w="100" w:type="dxa"/>
              <w:left w:w="120" w:type="dxa"/>
              <w:bottom w:w="100" w:type="dxa"/>
              <w:right w:w="120" w:type="dxa"/>
            </w:tcMar>
          </w:tcPr>
          <w:p w14:paraId="16138EF6" w14:textId="77777777" w:rsidR="001515F2" w:rsidRDefault="005C104D">
            <w:pPr>
              <w:jc w:val="both"/>
            </w:pPr>
            <w:r>
              <w:t>Pickford &amp; Company was engaged, for a fee, to carry the broken crankshaft to the manufacturer as quickly as possible, and expressly promised next-day delivery; the carrier's negligent delay directly caused the mill to remain idle for five extra days, and the lost profits during that period were the natural and direct consequence of the breach, for which the carrier should be liable in full.</w:t>
            </w:r>
          </w:p>
        </w:tc>
      </w:tr>
      <w:tr w:rsidR="001515F2" w14:paraId="79E1989E" w14:textId="77777777">
        <w:tc>
          <w:tcPr>
            <w:tcW w:w="2500" w:type="pct"/>
            <w:tcMar>
              <w:top w:w="100" w:type="dxa"/>
              <w:left w:w="120" w:type="dxa"/>
              <w:bottom w:w="100" w:type="dxa"/>
              <w:right w:w="120" w:type="dxa"/>
            </w:tcMar>
          </w:tcPr>
          <w:p w14:paraId="120098A4" w14:textId="77777777" w:rsidR="001515F2" w:rsidRDefault="005C104D">
            <w:pPr>
              <w:jc w:val="both"/>
            </w:pPr>
            <w:r>
              <w:rPr>
                <w:b/>
                <w:bCs/>
              </w:rPr>
              <w:t>Baxendale (Defendant/Appellant)</w:t>
            </w:r>
          </w:p>
        </w:tc>
        <w:tc>
          <w:tcPr>
            <w:tcW w:w="2500" w:type="pct"/>
            <w:tcMar>
              <w:top w:w="100" w:type="dxa"/>
              <w:left w:w="120" w:type="dxa"/>
              <w:bottom w:w="100" w:type="dxa"/>
              <w:right w:w="120" w:type="dxa"/>
            </w:tcMar>
          </w:tcPr>
          <w:p w14:paraId="3BEC78C3" w14:textId="77777777" w:rsidR="001515F2" w:rsidRDefault="005C104D">
            <w:pPr>
              <w:jc w:val="both"/>
            </w:pPr>
            <w:r>
              <w:t>The carrier was never told that the mill possessed no spare shaft and would be forced to shut down entirely pending delivery; a request for fast shipping is an ordinary commercial instruction that does not, by itself, put a carrier on notice of catastrophic loss of profits, and it was equally plausible that the mill had a spare part or was sending the shaft for unrelated repair — lost profits of this kind were too remote to have been within the reasonable contemplation of the parties when the contract was made.</w:t>
            </w:r>
          </w:p>
        </w:tc>
      </w:tr>
    </w:tbl>
    <w:p w14:paraId="2EBA7DEB" w14:textId="77777777" w:rsidR="00E22DAB" w:rsidRDefault="00E22DAB">
      <w:pPr>
        <w:pStyle w:val="Heading1"/>
        <w:spacing w:before="320" w:after="160"/>
        <w:rPr>
          <w:b/>
          <w:bCs/>
          <w:color w:val="000000"/>
          <w:sz w:val="28"/>
          <w:szCs w:val="28"/>
        </w:rPr>
      </w:pPr>
    </w:p>
    <w:p w14:paraId="5EA8E60C" w14:textId="7787C5C1" w:rsidR="001515F2" w:rsidRDefault="005C104D">
      <w:pPr>
        <w:pStyle w:val="Heading1"/>
        <w:spacing w:before="320" w:after="160"/>
      </w:pPr>
      <w:r>
        <w:rPr>
          <w:b/>
          <w:bCs/>
          <w:color w:val="000000"/>
          <w:sz w:val="28"/>
          <w:szCs w:val="28"/>
        </w:rPr>
        <w:lastRenderedPageBreak/>
        <w:t>4. Judgment</w:t>
      </w:r>
    </w:p>
    <w:p w14:paraId="108E55EB" w14:textId="77777777" w:rsidR="001515F2" w:rsidRDefault="005C104D">
      <w:pPr>
        <w:pStyle w:val="Heading2"/>
        <w:spacing w:before="220" w:after="120"/>
      </w:pPr>
      <w:r>
        <w:rPr>
          <w:b/>
          <w:bCs/>
          <w:color w:val="000000"/>
          <w:sz w:val="24"/>
          <w:szCs w:val="24"/>
        </w:rPr>
        <w:t>4.1 Court's Decision</w:t>
      </w:r>
    </w:p>
    <w:p w14:paraId="3F82E001" w14:textId="77777777" w:rsidR="001515F2" w:rsidRDefault="005C104D">
      <w:pPr>
        <w:spacing w:after="160" w:line="300" w:lineRule="auto"/>
        <w:jc w:val="both"/>
      </w:pPr>
      <w:r>
        <w:t>The Court of Exchequer ruled in favour of Baxendale, holding that the jury had been misdirected as to the proper measure of damages. The court ordered a new trial, with instructions that the jury should not award damages for the mill's lost profits, since that loss was not one that could reasonably be considered to have been within the contemplation of both parties at the time the contract of carriage was made.</w:t>
      </w:r>
    </w:p>
    <w:p w14:paraId="1AD852B8" w14:textId="77777777" w:rsidR="001515F2" w:rsidRDefault="005C104D">
      <w:pPr>
        <w:pStyle w:val="Heading2"/>
        <w:spacing w:before="220" w:after="120"/>
      </w:pPr>
      <w:r>
        <w:rPr>
          <w:b/>
          <w:bCs/>
          <w:color w:val="000000"/>
          <w:sz w:val="24"/>
          <w:szCs w:val="24"/>
        </w:rPr>
        <w:t>4.2 Ratio Decidendi (Judicial Reasoning)</w:t>
      </w:r>
    </w:p>
    <w:p w14:paraId="77EA13D7" w14:textId="77777777" w:rsidR="001515F2" w:rsidRDefault="005C104D">
      <w:pPr>
        <w:spacing w:after="160" w:line="300" w:lineRule="auto"/>
        <w:jc w:val="both"/>
      </w:pPr>
      <w:r>
        <w:t>Delivering the judgment of the court, Alderson B laid down a two-limbed test for the recoverability of damages for breach of contract, and applied it to explain why Baxendale was not liable for the mill's lost profits:</w:t>
      </w:r>
    </w:p>
    <w:p w14:paraId="6A080561" w14:textId="77777777" w:rsidR="001515F2" w:rsidRDefault="005C104D">
      <w:pPr>
        <w:pStyle w:val="ListParagraph"/>
        <w:numPr>
          <w:ilvl w:val="0"/>
          <w:numId w:val="2"/>
        </w:numPr>
        <w:spacing w:after="100" w:line="290" w:lineRule="auto"/>
        <w:jc w:val="both"/>
      </w:pPr>
      <w:r>
        <w:t>The general rule (the two limbs): Damages recoverable for breach of contract are either such as may fairly and reasonably be considered as arising naturally, according to the usual course of things, from the breach itself (the first limb); or such as may reasonably be supposed to have been in the contemplation of both parties, at the time they made the contract, as the probable result of its breach, because of special circumstances actually communicated by the claimant to the defendant (the second limb).</w:t>
      </w:r>
    </w:p>
    <w:p w14:paraId="50C35831" w14:textId="77777777" w:rsidR="001515F2" w:rsidRDefault="005C104D">
      <w:pPr>
        <w:pStyle w:val="ListParagraph"/>
        <w:numPr>
          <w:ilvl w:val="0"/>
          <w:numId w:val="2"/>
        </w:numPr>
        <w:spacing w:after="100" w:line="290" w:lineRule="auto"/>
        <w:jc w:val="both"/>
      </w:pPr>
      <w:r>
        <w:t>No notice of special circumstances: Although Hadley had asked for the shaft to be delivered urgently, he had not told Pickford's clerk that the mill possessed no spare shaft and would be forced to remain completely closed until the replacement was built and returned.</w:t>
      </w:r>
    </w:p>
    <w:p w14:paraId="711B369A" w14:textId="77777777" w:rsidR="001515F2" w:rsidRDefault="005C104D">
      <w:pPr>
        <w:pStyle w:val="ListParagraph"/>
        <w:numPr>
          <w:ilvl w:val="0"/>
          <w:numId w:val="2"/>
        </w:numPr>
        <w:spacing w:after="100" w:line="290" w:lineRule="auto"/>
        <w:jc w:val="both"/>
      </w:pPr>
      <w:r>
        <w:t>A request for speed is not notice of catastrophic loss: The court held that simply requesting fast delivery was an ordinary commercial instruction, unremarkable in itself, and could not by itself alert a carrier to the risk of a total shutdown of the customer's business and consequent loss of profits.</w:t>
      </w:r>
    </w:p>
    <w:p w14:paraId="3C0A93E1" w14:textId="77777777" w:rsidR="001515F2" w:rsidRDefault="005C104D">
      <w:pPr>
        <w:pStyle w:val="ListParagraph"/>
        <w:numPr>
          <w:ilvl w:val="0"/>
          <w:numId w:val="2"/>
        </w:numPr>
        <w:spacing w:after="100" w:line="290" w:lineRule="auto"/>
        <w:jc w:val="both"/>
      </w:pPr>
      <w:r>
        <w:t>Reasonable alternative explanations existed: The court observed that a carrier in Pickford's position could just as reasonably have assumed that the mill had a spare shaft in reserve, or was sending the broken shaft away for some other purpose unrelated to a complete stoppage of the mill's operations.</w:t>
      </w:r>
    </w:p>
    <w:p w14:paraId="7CD7E1CC" w14:textId="77777777" w:rsidR="001515F2" w:rsidRDefault="005C104D">
      <w:pPr>
        <w:pStyle w:val="ListParagraph"/>
        <w:numPr>
          <w:ilvl w:val="0"/>
          <w:numId w:val="2"/>
        </w:numPr>
        <w:spacing w:after="100" w:line="290" w:lineRule="auto"/>
        <w:jc w:val="both"/>
      </w:pPr>
      <w:r>
        <w:t>Loss of profits did not arise naturally from the breach: Because the loss of profits depended on the unusual and uncommunicated fact that the mill had no spare part, it did not arise naturally, in the ordinary course of things, from a mere delay in carriage, and therefore fell outside the first limb of the rule.</w:t>
      </w:r>
    </w:p>
    <w:p w14:paraId="30FD7B76" w14:textId="77777777" w:rsidR="00E22DAB" w:rsidRDefault="00E22DAB" w:rsidP="00E22DAB">
      <w:pPr>
        <w:rPr>
          <w:b/>
          <w:bCs/>
          <w:color w:val="000000"/>
          <w:sz w:val="28"/>
          <w:szCs w:val="28"/>
        </w:rPr>
      </w:pPr>
    </w:p>
    <w:p w14:paraId="5C583707" w14:textId="77777777" w:rsidR="00E22DAB" w:rsidRDefault="00E22DAB" w:rsidP="00E22DAB">
      <w:pPr>
        <w:rPr>
          <w:b/>
          <w:bCs/>
          <w:color w:val="000000"/>
          <w:sz w:val="28"/>
          <w:szCs w:val="28"/>
        </w:rPr>
      </w:pPr>
    </w:p>
    <w:p w14:paraId="2EBF0983" w14:textId="77777777" w:rsidR="00E22DAB" w:rsidRDefault="00E22DAB" w:rsidP="00E22DAB">
      <w:pPr>
        <w:rPr>
          <w:b/>
          <w:bCs/>
          <w:color w:val="000000"/>
          <w:sz w:val="28"/>
          <w:szCs w:val="28"/>
        </w:rPr>
      </w:pPr>
    </w:p>
    <w:p w14:paraId="67FB3897" w14:textId="3F43FFF4" w:rsidR="001515F2" w:rsidRDefault="005C104D" w:rsidP="00E22DAB">
      <w:pPr>
        <w:rPr>
          <w:b/>
          <w:bCs/>
          <w:color w:val="000000"/>
          <w:sz w:val="28"/>
          <w:szCs w:val="28"/>
        </w:rPr>
      </w:pPr>
      <w:r>
        <w:rPr>
          <w:b/>
          <w:bCs/>
          <w:color w:val="000000"/>
          <w:sz w:val="28"/>
          <w:szCs w:val="28"/>
        </w:rPr>
        <w:lastRenderedPageBreak/>
        <w:t>5. Legal Principle: Contract Formation Analysis</w:t>
      </w:r>
    </w:p>
    <w:p w14:paraId="37FB053E" w14:textId="77777777" w:rsidR="00E22DAB" w:rsidRDefault="00E22DAB" w:rsidP="00E22DAB"/>
    <w:p w14:paraId="2BB6EAA3" w14:textId="77777777" w:rsidR="001515F2" w:rsidRDefault="005C104D">
      <w:pPr>
        <w:spacing w:after="160" w:line="300" w:lineRule="auto"/>
        <w:jc w:val="both"/>
      </w:pPr>
      <w:r>
        <w:t>This section breaks down the key legal principle established in Hadley v Baxendale by applying the mechanics of offer, acceptance, and the ancillary pillars of contract formation to the carriage agreement between Hadley and Pickford.</w:t>
      </w:r>
    </w:p>
    <w:p w14:paraId="23542F0E" w14:textId="77777777" w:rsidR="001515F2" w:rsidRDefault="005C104D">
      <w:pPr>
        <w:pStyle w:val="Heading2"/>
        <w:spacing w:before="220" w:after="120"/>
      </w:pPr>
      <w:r>
        <w:rPr>
          <w:b/>
          <w:bCs/>
          <w:color w:val="000000"/>
          <w:sz w:val="24"/>
          <w:szCs w:val="24"/>
        </w:rPr>
        <w:t>5.1 Evaluation of a Valid Offer</w:t>
      </w:r>
    </w:p>
    <w:p w14:paraId="6F9DFCA2" w14:textId="77777777" w:rsidR="001515F2" w:rsidRDefault="005C104D">
      <w:pPr>
        <w:spacing w:after="160" w:line="300" w:lineRule="auto"/>
        <w:jc w:val="both"/>
      </w:pPr>
      <w:r>
        <w:t>Unlike many landmark contract cases, formation of the underlying contract of carriage was never seriously disputed; the analytical focus of the case falls almost entirely on the consequences of breach rather than on the existence of the bargain itself. Even so, the formation elements repay brief examination.</w:t>
      </w:r>
    </w:p>
    <w:p w14:paraId="1AF1B6CF" w14:textId="77777777" w:rsidR="001515F2" w:rsidRDefault="005C104D">
      <w:pPr>
        <w:pStyle w:val="ListParagraph"/>
        <w:numPr>
          <w:ilvl w:val="0"/>
          <w:numId w:val="2"/>
        </w:numPr>
        <w:spacing w:after="100" w:line="290" w:lineRule="auto"/>
        <w:jc w:val="both"/>
      </w:pPr>
      <w:r>
        <w:t>Hadley's request to Pickford &amp; Company to carry the crankshaft, on payment of a fee and with a request for expedited delivery, constituted a clear and specific offer to contract for carriage services on defined terms.</w:t>
      </w:r>
    </w:p>
    <w:p w14:paraId="45FEE2AA" w14:textId="77777777" w:rsidR="001515F2" w:rsidRDefault="005C104D">
      <w:pPr>
        <w:pStyle w:val="ListParagraph"/>
        <w:numPr>
          <w:ilvl w:val="0"/>
          <w:numId w:val="2"/>
        </w:numPr>
        <w:spacing w:after="100" w:line="290" w:lineRule="auto"/>
        <w:jc w:val="both"/>
      </w:pPr>
      <w:r>
        <w:t>This was not a mere invitation to treat or preliminary inquiry: the request identified the goods, the destination, the urgency required, and the price to be paid, all hallmarks of a definite offer capable of binding acceptance.</w:t>
      </w:r>
    </w:p>
    <w:p w14:paraId="5E4A67D3" w14:textId="77777777" w:rsidR="001515F2" w:rsidRDefault="005C104D">
      <w:pPr>
        <w:pStyle w:val="ListParagraph"/>
        <w:numPr>
          <w:ilvl w:val="0"/>
          <w:numId w:val="2"/>
        </w:numPr>
        <w:spacing w:after="100" w:line="290" w:lineRule="auto"/>
        <w:jc w:val="both"/>
      </w:pPr>
      <w:r>
        <w:t>The commercial, arm's-length setting of the transaction — a paying customer engaging a professional carrier for a defined service — left no room for the kind of domestic ambiguity seen in cases such as Balfour v Balfour; here, both parties plainly intended a legally binding commercial arrangement from the outset.</w:t>
      </w:r>
    </w:p>
    <w:p w14:paraId="677E0236" w14:textId="77777777" w:rsidR="001515F2" w:rsidRDefault="005C104D">
      <w:pPr>
        <w:pStyle w:val="Heading2"/>
        <w:spacing w:before="220" w:after="120"/>
      </w:pPr>
      <w:r>
        <w:rPr>
          <w:b/>
          <w:bCs/>
          <w:color w:val="000000"/>
          <w:sz w:val="24"/>
          <w:szCs w:val="24"/>
        </w:rPr>
        <w:t>5.2 Mechanics of Acceptance</w:t>
      </w:r>
    </w:p>
    <w:p w14:paraId="6827B56B" w14:textId="77777777" w:rsidR="001515F2" w:rsidRDefault="005C104D">
      <w:pPr>
        <w:spacing w:after="160" w:line="300" w:lineRule="auto"/>
        <w:jc w:val="both"/>
      </w:pPr>
      <w:r>
        <w:t>Acceptance in Hadley v Baxendale was communicated promptly and unambiguously through the ordinary course of commercial dealing between customer and carrier.</w:t>
      </w:r>
    </w:p>
    <w:p w14:paraId="5667C7F9" w14:textId="77777777" w:rsidR="001515F2" w:rsidRDefault="005C104D">
      <w:pPr>
        <w:pStyle w:val="ListParagraph"/>
        <w:numPr>
          <w:ilvl w:val="0"/>
          <w:numId w:val="2"/>
        </w:numPr>
        <w:spacing w:after="100" w:line="290" w:lineRule="auto"/>
        <w:jc w:val="both"/>
      </w:pPr>
      <w:r>
        <w:t>Pickford's clerk accepted the offer by agreeing to carry the shaft and promising delivery by the following day, matching the terms of Hadley's request; this exchange reflects the mirror image rule, since the carrier's acceptance corresponded precisely to what had been asked for, including the promised timeframe.</w:t>
      </w:r>
    </w:p>
    <w:p w14:paraId="666F9031" w14:textId="77777777" w:rsidR="001515F2" w:rsidRDefault="005C104D">
      <w:pPr>
        <w:pStyle w:val="ListParagraph"/>
        <w:numPr>
          <w:ilvl w:val="0"/>
          <w:numId w:val="2"/>
        </w:numPr>
        <w:spacing w:after="100" w:line="290" w:lineRule="auto"/>
        <w:jc w:val="both"/>
      </w:pPr>
      <w:r>
        <w:t>Because the parties dealt with each other directly and instantaneously at the point of engagement, no question arose as to postal rules or delayed communication of acceptance; the contract was concluded there and then, with performance (carriage of the shaft) to follow.</w:t>
      </w:r>
    </w:p>
    <w:p w14:paraId="60FBA7DA" w14:textId="77777777" w:rsidR="001515F2" w:rsidRDefault="005C104D">
      <w:pPr>
        <w:pStyle w:val="ListParagraph"/>
        <w:numPr>
          <w:ilvl w:val="0"/>
          <w:numId w:val="2"/>
        </w:numPr>
        <w:spacing w:after="100" w:line="290" w:lineRule="auto"/>
        <w:jc w:val="both"/>
      </w:pPr>
      <w:r>
        <w:t>The real legal difficulty in the case begins only after this point: acceptance and formation were straightforward, but the scope of liability for failing to perform as promised required the court to develop an entirely separate body of principle — the rule on remoteness of damage.</w:t>
      </w:r>
    </w:p>
    <w:p w14:paraId="1BEA639E" w14:textId="77777777" w:rsidR="00E22DAB" w:rsidRDefault="00E22DAB">
      <w:pPr>
        <w:pStyle w:val="Heading2"/>
        <w:spacing w:before="220" w:after="120"/>
        <w:rPr>
          <w:b/>
          <w:bCs/>
          <w:color w:val="000000"/>
          <w:sz w:val="24"/>
          <w:szCs w:val="24"/>
        </w:rPr>
      </w:pPr>
    </w:p>
    <w:p w14:paraId="3163404C" w14:textId="71F33FFB" w:rsidR="001515F2" w:rsidRDefault="005C104D">
      <w:pPr>
        <w:pStyle w:val="Heading2"/>
        <w:spacing w:before="220" w:after="120"/>
      </w:pPr>
      <w:r>
        <w:rPr>
          <w:b/>
          <w:bCs/>
          <w:color w:val="000000"/>
          <w:sz w:val="24"/>
          <w:szCs w:val="24"/>
        </w:rPr>
        <w:t>5.3 Ancillary Pillars of Formation</w:t>
      </w:r>
    </w:p>
    <w:p w14:paraId="47A65EE1" w14:textId="77777777" w:rsidR="001515F2" w:rsidRDefault="005C104D">
      <w:pPr>
        <w:spacing w:after="160" w:line="300" w:lineRule="auto"/>
        <w:jc w:val="both"/>
      </w:pPr>
      <w:r>
        <w:t>The remaining pillars of a binding agreement — consideration and intention to create legal relations — were readily established on the facts, which is precisely what allowed the court to focus its judgment on the more difficult question of damages.</w:t>
      </w:r>
    </w:p>
    <w:p w14:paraId="5492AB37" w14:textId="77777777" w:rsidR="001515F2" w:rsidRDefault="005C104D">
      <w:pPr>
        <w:pStyle w:val="ListParagraph"/>
        <w:numPr>
          <w:ilvl w:val="0"/>
          <w:numId w:val="2"/>
        </w:numPr>
        <w:spacing w:after="100" w:line="290" w:lineRule="auto"/>
        <w:jc w:val="both"/>
      </w:pPr>
      <w:r>
        <w:t>Consideration: Hadley's payment of carriage fees, including an additional amount for expedited delivery, supplied clear consideration flowing from him to the carrier; Pickford's promise of next-day delivery supplied consideration flowing the other way, in the classic form of a bargained-for exchange of promises.</w:t>
      </w:r>
    </w:p>
    <w:p w14:paraId="19BF2FC7" w14:textId="77777777" w:rsidR="001515F2" w:rsidRDefault="005C104D">
      <w:pPr>
        <w:pStyle w:val="ListParagraph"/>
        <w:numPr>
          <w:ilvl w:val="0"/>
          <w:numId w:val="2"/>
        </w:numPr>
        <w:spacing w:after="100" w:line="290" w:lineRule="auto"/>
        <w:jc w:val="both"/>
      </w:pPr>
      <w:r>
        <w:t>Intention to Create Legal Relations: As a straightforward commercial transaction between a paying customer and a professional carrier, the arrangement carried the ordinary presumption that legal relations were intended — the opposite presumption to that applied in domestic cases such as Balfour v Balfour — and neither party disputed that a binding contract of carriage existed.</w:t>
      </w:r>
    </w:p>
    <w:p w14:paraId="5698B41E" w14:textId="77777777" w:rsidR="001515F2" w:rsidRDefault="005C104D">
      <w:pPr>
        <w:spacing w:after="160" w:line="300" w:lineRule="auto"/>
        <w:jc w:val="both"/>
      </w:pPr>
      <w:r>
        <w:t>Because offer, acceptance, consideration, and intention were all uncontroversially present, the case is significant not for how the contract was formed, but for what happens once such a contract is broken — specifically, how far liability for the consequences of breach should extend. This is the true legacy of the decision: a workable, two-limbed test for identifying which losses a breaching party must compensate.</w:t>
      </w:r>
    </w:p>
    <w:p w14:paraId="0ACDEAA5" w14:textId="010A8113" w:rsidR="001515F2" w:rsidRDefault="005C104D" w:rsidP="00E22DAB">
      <w:r>
        <w:rPr>
          <w:b/>
          <w:bCs/>
          <w:color w:val="000000"/>
          <w:sz w:val="28"/>
          <w:szCs w:val="28"/>
        </w:rPr>
        <w:t>6. Business Relevance</w:t>
      </w:r>
    </w:p>
    <w:p w14:paraId="18AF7976" w14:textId="77777777" w:rsidR="001515F2" w:rsidRDefault="005C104D">
      <w:pPr>
        <w:pStyle w:val="Heading2"/>
        <w:spacing w:before="220" w:after="120"/>
      </w:pPr>
      <w:r>
        <w:rPr>
          <w:b/>
          <w:bCs/>
          <w:color w:val="000000"/>
          <w:sz w:val="24"/>
          <w:szCs w:val="24"/>
        </w:rPr>
        <w:t>6.1 Application in Modern Business</w:t>
      </w:r>
    </w:p>
    <w:p w14:paraId="1ED35C37" w14:textId="77777777" w:rsidR="001515F2" w:rsidRDefault="005C104D">
      <w:pPr>
        <w:spacing w:after="160" w:line="300" w:lineRule="auto"/>
        <w:jc w:val="both"/>
      </w:pPr>
      <w:r>
        <w:t>Although decided in 1854 in the context of a broken mill shaft, Hadley v Baxendale continues to shape how modern courts and businesses assess liability for breach across nearly every sector of commerce:</w:t>
      </w:r>
    </w:p>
    <w:p w14:paraId="2D85743C" w14:textId="77777777" w:rsidR="001515F2" w:rsidRDefault="005C104D">
      <w:pPr>
        <w:pStyle w:val="ListParagraph"/>
        <w:numPr>
          <w:ilvl w:val="0"/>
          <w:numId w:val="2"/>
        </w:numPr>
        <w:spacing w:after="100" w:line="290" w:lineRule="auto"/>
        <w:jc w:val="both"/>
      </w:pPr>
      <w:r>
        <w:t>Logistics and supply chain contracts: Carriers, freight forwarders, and logistics providers remain liable, under the Hadley rule, only for losses that arise naturally from delay or damage, or that were specifically flagged by the customer in advance — a principle that underpins standard-form carriage terms and liability caps used across the shipping and freight industry today.</w:t>
      </w:r>
    </w:p>
    <w:p w14:paraId="73C8FBDC" w14:textId="77777777" w:rsidR="001515F2" w:rsidRDefault="005C104D">
      <w:pPr>
        <w:pStyle w:val="ListParagraph"/>
        <w:numPr>
          <w:ilvl w:val="0"/>
          <w:numId w:val="2"/>
        </w:numPr>
        <w:spacing w:after="100" w:line="290" w:lineRule="auto"/>
        <w:jc w:val="both"/>
      </w:pPr>
      <w:r>
        <w:t>Technology and software contracts: Software vendors and IT service providers routinely rely on the foreseeability principle to argue that a client's extraordinary business losses from downtime or a failed deployment were not within the reasonable contemplation of the parties, unless the client had specifically disclosed its dependency on the system in advance.</w:t>
      </w:r>
    </w:p>
    <w:p w14:paraId="00730D81" w14:textId="77777777" w:rsidR="001515F2" w:rsidRDefault="005C104D">
      <w:pPr>
        <w:pStyle w:val="ListParagraph"/>
        <w:numPr>
          <w:ilvl w:val="0"/>
          <w:numId w:val="2"/>
        </w:numPr>
        <w:spacing w:after="100" w:line="290" w:lineRule="auto"/>
        <w:jc w:val="both"/>
      </w:pPr>
      <w:r>
        <w:lastRenderedPageBreak/>
        <w:t>Financial services agreements: Where a delayed payment, failed transaction, or system error causes a counterparty's unusual financial loss, courts continue to apply the two-limbed Hadley test to decide whether such loss was a natural consequence of the breach or required special notice to be recoverable.</w:t>
      </w:r>
    </w:p>
    <w:p w14:paraId="58D9B49A" w14:textId="77777777" w:rsidR="001515F2" w:rsidRDefault="005C104D">
      <w:pPr>
        <w:pStyle w:val="ListParagraph"/>
        <w:numPr>
          <w:ilvl w:val="0"/>
          <w:numId w:val="2"/>
        </w:numPr>
        <w:spacing w:after="100" w:line="290" w:lineRule="auto"/>
        <w:jc w:val="both"/>
      </w:pPr>
      <w:r>
        <w:t>Standard-form contracting generally: The principle underpins why so many modern commercial contracts include express clauses addressing consequential loss, liability caps, and notice requirements — parties now routinely contract around the default Hadley position by allocating the risk of unusual losses explicitly.</w:t>
      </w:r>
    </w:p>
    <w:p w14:paraId="32F24E44" w14:textId="77777777" w:rsidR="001515F2" w:rsidRDefault="005C104D">
      <w:pPr>
        <w:pStyle w:val="Heading2"/>
        <w:spacing w:before="220" w:after="120"/>
      </w:pPr>
      <w:r>
        <w:rPr>
          <w:b/>
          <w:bCs/>
          <w:color w:val="000000"/>
          <w:sz w:val="24"/>
          <w:szCs w:val="24"/>
        </w:rPr>
        <w:t>6.2 Risk Management &amp; Operational Compliance</w:t>
      </w:r>
    </w:p>
    <w:p w14:paraId="14B14F3D" w14:textId="77777777" w:rsidR="001515F2" w:rsidRDefault="005C104D">
      <w:pPr>
        <w:spacing w:after="160" w:line="300" w:lineRule="auto"/>
        <w:jc w:val="both"/>
      </w:pPr>
      <w:r>
        <w:t>The judgment offers several enduring, practical lessons for businesses seeking to manage contractual risk and draft effective agreements:</w:t>
      </w:r>
    </w:p>
    <w:p w14:paraId="7139840A" w14:textId="77777777" w:rsidR="001515F2" w:rsidRDefault="005C104D">
      <w:pPr>
        <w:pStyle w:val="ListParagraph"/>
        <w:numPr>
          <w:ilvl w:val="0"/>
          <w:numId w:val="2"/>
        </w:numPr>
        <w:spacing w:after="100" w:line="290" w:lineRule="auto"/>
        <w:jc w:val="both"/>
      </w:pPr>
      <w:r>
        <w:t>Communicate special circumstances explicitly. A business that depends critically on timely performance — as Hadley's mill depended on the shaft — should communicate that dependency clearly and specifically to its counterparty at the time of contracting, since silence will ordinarily place extraordinary losses outside the scope of recoverable damages.</w:t>
      </w:r>
    </w:p>
    <w:p w14:paraId="468B6C44" w14:textId="77777777" w:rsidR="001515F2" w:rsidRDefault="005C104D">
      <w:pPr>
        <w:pStyle w:val="ListParagraph"/>
        <w:numPr>
          <w:ilvl w:val="0"/>
          <w:numId w:val="2"/>
        </w:numPr>
        <w:spacing w:after="100" w:line="290" w:lineRule="auto"/>
        <w:jc w:val="both"/>
      </w:pPr>
      <w:r>
        <w:t>Do not assume urgency alone conveys risk. Simply requesting fast delivery or performance is not, on its own, sufficient notice of catastrophic loss; businesses should state the consequences of delay in concrete terms if they want a counterparty to bear that risk.</w:t>
      </w:r>
    </w:p>
    <w:p w14:paraId="6DC557A0" w14:textId="77777777" w:rsidR="001515F2" w:rsidRDefault="005C104D">
      <w:pPr>
        <w:pStyle w:val="ListParagraph"/>
        <w:numPr>
          <w:ilvl w:val="0"/>
          <w:numId w:val="2"/>
        </w:numPr>
        <w:spacing w:after="100" w:line="290" w:lineRule="auto"/>
        <w:jc w:val="both"/>
      </w:pPr>
      <w:r>
        <w:t>Draft consequential loss clauses deliberately. Modern commercial contracts frequently define, exclude, or cap liability for indirect and consequential losses; understanding the Hadley default rule is essential to drafting these clauses effectively, whether a business wants to broaden or narrow the default position.</w:t>
      </w:r>
    </w:p>
    <w:p w14:paraId="46BF76AE" w14:textId="77777777" w:rsidR="001515F2" w:rsidRDefault="005C104D">
      <w:pPr>
        <w:pStyle w:val="ListParagraph"/>
        <w:numPr>
          <w:ilvl w:val="0"/>
          <w:numId w:val="2"/>
        </w:numPr>
        <w:spacing w:after="100" w:line="290" w:lineRule="auto"/>
        <w:jc w:val="both"/>
      </w:pPr>
      <w:r>
        <w:t>Maintain contingency planning. Just as the court noted a carrier could reasonably assume a mill kept a spare shaft, businesses that fail to maintain reasonable contingency measures for critical equipment or systems may find that their own operational choices, not the breaching party's conduct, are what produced their extraordinary loss.</w:t>
      </w:r>
    </w:p>
    <w:p w14:paraId="3A38DE3B" w14:textId="77777777" w:rsidR="001515F2" w:rsidRDefault="005C104D">
      <w:pPr>
        <w:pStyle w:val="ListParagraph"/>
        <w:numPr>
          <w:ilvl w:val="0"/>
          <w:numId w:val="2"/>
        </w:numPr>
        <w:spacing w:after="100" w:line="290" w:lineRule="auto"/>
        <w:jc w:val="both"/>
      </w:pPr>
      <w:r>
        <w:t>Treat foreseeability as a threshold compliance check. When negotiating or performing a contract, both parties benefit from assessing, at the outset, what categories of loss are foreseeable from a breach — a discipline that reduces disputes and clarifies the true allocation of commercial risk.</w:t>
      </w:r>
    </w:p>
    <w:p w14:paraId="2107C045" w14:textId="77777777" w:rsidR="00E22DAB" w:rsidRDefault="00E22DAB" w:rsidP="00E22DAB">
      <w:pPr>
        <w:rPr>
          <w:b/>
          <w:bCs/>
          <w:color w:val="000000"/>
          <w:sz w:val="28"/>
          <w:szCs w:val="28"/>
        </w:rPr>
      </w:pPr>
    </w:p>
    <w:p w14:paraId="460B8595" w14:textId="77777777" w:rsidR="00E22DAB" w:rsidRDefault="00E22DAB" w:rsidP="00E22DAB">
      <w:pPr>
        <w:rPr>
          <w:b/>
          <w:bCs/>
          <w:color w:val="000000"/>
          <w:sz w:val="28"/>
          <w:szCs w:val="28"/>
        </w:rPr>
      </w:pPr>
    </w:p>
    <w:p w14:paraId="69F80C5E" w14:textId="77777777" w:rsidR="00E22DAB" w:rsidRDefault="00E22DAB" w:rsidP="00E22DAB">
      <w:pPr>
        <w:rPr>
          <w:b/>
          <w:bCs/>
          <w:color w:val="000000"/>
          <w:sz w:val="28"/>
          <w:szCs w:val="28"/>
        </w:rPr>
      </w:pPr>
    </w:p>
    <w:p w14:paraId="40A7C5D1" w14:textId="77777777" w:rsidR="00E22DAB" w:rsidRDefault="00E22DAB" w:rsidP="00E22DAB">
      <w:pPr>
        <w:rPr>
          <w:b/>
          <w:bCs/>
          <w:color w:val="000000"/>
          <w:sz w:val="28"/>
          <w:szCs w:val="28"/>
        </w:rPr>
      </w:pPr>
    </w:p>
    <w:p w14:paraId="24B3F203" w14:textId="77777777" w:rsidR="00E22DAB" w:rsidRDefault="00E22DAB" w:rsidP="00E22DAB">
      <w:pPr>
        <w:rPr>
          <w:b/>
          <w:bCs/>
          <w:color w:val="000000"/>
          <w:sz w:val="28"/>
          <w:szCs w:val="28"/>
        </w:rPr>
      </w:pPr>
    </w:p>
    <w:p w14:paraId="00717718" w14:textId="7F5CC30E" w:rsidR="001515F2" w:rsidRDefault="005C104D" w:rsidP="00E22DAB">
      <w:r>
        <w:rPr>
          <w:b/>
          <w:bCs/>
          <w:color w:val="000000"/>
          <w:sz w:val="28"/>
          <w:szCs w:val="28"/>
        </w:rPr>
        <w:lastRenderedPageBreak/>
        <w:t>7. Conclusion</w:t>
      </w:r>
    </w:p>
    <w:p w14:paraId="1BF28EC4" w14:textId="77777777" w:rsidR="001515F2" w:rsidRDefault="005C104D">
      <w:pPr>
        <w:pStyle w:val="Heading2"/>
        <w:spacing w:before="220" w:after="120"/>
      </w:pPr>
      <w:r>
        <w:rPr>
          <w:b/>
          <w:bCs/>
          <w:color w:val="000000"/>
          <w:sz w:val="24"/>
          <w:szCs w:val="24"/>
        </w:rPr>
        <w:t>7.1 Personal Learning and Observations</w:t>
      </w:r>
    </w:p>
    <w:p w14:paraId="435BADC6" w14:textId="77777777" w:rsidR="001515F2" w:rsidRDefault="005C104D">
      <w:pPr>
        <w:spacing w:after="160" w:line="300" w:lineRule="auto"/>
        <w:jc w:val="both"/>
      </w:pPr>
      <w:r>
        <w:t>Hadley v Baxendale endures as a foundational case not because the underlying carriage contract was commercially significant, but because the Court of Exchequer used a delayed mill shaft to articulate, with lasting clarity, a workable limit on liability for breach of contract.</w:t>
      </w:r>
    </w:p>
    <w:p w14:paraId="2F266F97" w14:textId="77777777" w:rsidR="001515F2" w:rsidRDefault="005C104D">
      <w:pPr>
        <w:pStyle w:val="ListParagraph"/>
        <w:numPr>
          <w:ilvl w:val="0"/>
          <w:numId w:val="2"/>
        </w:numPr>
        <w:spacing w:after="100" w:line="290" w:lineRule="auto"/>
        <w:jc w:val="both"/>
      </w:pPr>
      <w:r>
        <w:t>The judgment demonstrates how courts balance fairness to the injured party against the practical need to give contracting parties a predictable basis for pricing and managing risk; without some limiting principle, a breaching party could face liability for losses wildly disproportionate to the bargain actually struck.</w:t>
      </w:r>
    </w:p>
    <w:p w14:paraId="7093D02A" w14:textId="77777777" w:rsidR="001515F2" w:rsidRDefault="005C104D">
      <w:pPr>
        <w:pStyle w:val="ListParagraph"/>
        <w:numPr>
          <w:ilvl w:val="0"/>
          <w:numId w:val="2"/>
        </w:numPr>
        <w:spacing w:after="100" w:line="290" w:lineRule="auto"/>
        <w:jc w:val="both"/>
      </w:pPr>
      <w:r>
        <w:t>A key observation is how the two-limbed test separates ordinary, foreseeable loss (recoverable without special notice) from extraordinary loss dependent on the claimant's own particular circumstances (recoverable only if specifically communicated) — a structure that remains the organising framework for remoteness of damage in contract law today.</w:t>
      </w:r>
    </w:p>
    <w:p w14:paraId="71A5D311" w14:textId="77777777" w:rsidR="001515F2" w:rsidRDefault="005C104D">
      <w:pPr>
        <w:pStyle w:val="ListParagraph"/>
        <w:numPr>
          <w:ilvl w:val="0"/>
          <w:numId w:val="2"/>
        </w:numPr>
        <w:spacing w:after="100" w:line="290" w:lineRule="auto"/>
        <w:jc w:val="both"/>
      </w:pPr>
      <w:r>
        <w:t>The case also illustrates how a plainly valid, uncontested contract (clear offer, acceptance, consideration, and intention) can still generate significant litigation over its consequences; contract law is concerned not only with whether an agreement was formed, but with defining the proper scope of liability once it is broken.</w:t>
      </w:r>
    </w:p>
    <w:p w14:paraId="019F1E1A" w14:textId="77777777" w:rsidR="001515F2" w:rsidRDefault="005C104D">
      <w:pPr>
        <w:pStyle w:val="ListParagraph"/>
        <w:numPr>
          <w:ilvl w:val="0"/>
          <w:numId w:val="2"/>
        </w:numPr>
        <w:spacing w:after="100" w:line="290" w:lineRule="auto"/>
        <w:jc w:val="both"/>
      </w:pPr>
      <w:r>
        <w:t>The rule's continuing adoption across English and American contract law demonstrates its practical durability: modern statutes, restatements, and standard commercial contracts still draw directly on the natural-consequence and special-notice distinction first articulated by Alderson B in 1854.</w:t>
      </w:r>
    </w:p>
    <w:p w14:paraId="505286B7" w14:textId="77777777" w:rsidR="001515F2" w:rsidRDefault="005C104D">
      <w:pPr>
        <w:spacing w:after="160" w:line="300" w:lineRule="auto"/>
        <w:jc w:val="both"/>
      </w:pPr>
      <w:r>
        <w:t>For any student or practitioner of contract law, Hadley v Baxendale offers a compact but complete illustration of how courts define the outer boundary of contractual liability, and why clear communication between contracting parties remains the simplest and most effective way to manage the risk of unusual or extraordinary loss.</w:t>
      </w:r>
    </w:p>
    <w:p w14:paraId="0906E7F6" w14:textId="77777777" w:rsidR="001515F2" w:rsidRDefault="005C104D">
      <w:pPr>
        <w:pStyle w:val="Heading2"/>
        <w:spacing w:before="220" w:after="120"/>
      </w:pPr>
      <w:r>
        <w:rPr>
          <w:b/>
          <w:bCs/>
          <w:color w:val="000000"/>
          <w:sz w:val="24"/>
          <w:szCs w:val="24"/>
        </w:rPr>
        <w:t>IRAC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7480"/>
      </w:tblGrid>
      <w:tr w:rsidR="001515F2" w14:paraId="71ABA904" w14:textId="77777777">
        <w:trPr>
          <w:tblHeader/>
        </w:trPr>
        <w:tc>
          <w:tcPr>
            <w:tcW w:w="1000" w:type="pct"/>
            <w:shd w:val="clear" w:color="auto" w:fill="D9D9D9"/>
            <w:tcMar>
              <w:top w:w="100" w:type="dxa"/>
              <w:left w:w="120" w:type="dxa"/>
              <w:bottom w:w="100" w:type="dxa"/>
              <w:right w:w="120" w:type="dxa"/>
            </w:tcMar>
            <w:vAlign w:val="center"/>
          </w:tcPr>
          <w:p w14:paraId="68FD8043" w14:textId="77777777" w:rsidR="001515F2" w:rsidRDefault="005C104D">
            <w:r>
              <w:rPr>
                <w:b/>
                <w:bCs/>
              </w:rPr>
              <w:t>Element</w:t>
            </w:r>
          </w:p>
        </w:tc>
        <w:tc>
          <w:tcPr>
            <w:tcW w:w="1000" w:type="pct"/>
            <w:shd w:val="clear" w:color="auto" w:fill="D9D9D9"/>
            <w:tcMar>
              <w:top w:w="100" w:type="dxa"/>
              <w:left w:w="120" w:type="dxa"/>
              <w:bottom w:w="100" w:type="dxa"/>
              <w:right w:w="120" w:type="dxa"/>
            </w:tcMar>
            <w:vAlign w:val="center"/>
          </w:tcPr>
          <w:p w14:paraId="602E7782" w14:textId="77777777" w:rsidR="001515F2" w:rsidRDefault="005C104D">
            <w:r>
              <w:rPr>
                <w:b/>
                <w:bCs/>
              </w:rPr>
              <w:t>Application to Hadley v Baxendale</w:t>
            </w:r>
          </w:p>
        </w:tc>
      </w:tr>
      <w:tr w:rsidR="001515F2" w14:paraId="6B5E8752" w14:textId="77777777">
        <w:tc>
          <w:tcPr>
            <w:tcW w:w="1000" w:type="pct"/>
            <w:shd w:val="clear" w:color="auto" w:fill="D9D9D9"/>
            <w:tcMar>
              <w:top w:w="100" w:type="dxa"/>
              <w:left w:w="120" w:type="dxa"/>
              <w:bottom w:w="100" w:type="dxa"/>
              <w:right w:w="120" w:type="dxa"/>
            </w:tcMar>
            <w:vAlign w:val="center"/>
          </w:tcPr>
          <w:p w14:paraId="617FE2C8" w14:textId="77777777" w:rsidR="001515F2" w:rsidRDefault="005C104D">
            <w:r>
              <w:rPr>
                <w:b/>
                <w:bCs/>
              </w:rPr>
              <w:t>Issue</w:t>
            </w:r>
          </w:p>
        </w:tc>
        <w:tc>
          <w:tcPr>
            <w:tcW w:w="4000" w:type="pct"/>
            <w:tcMar>
              <w:top w:w="100" w:type="dxa"/>
              <w:left w:w="120" w:type="dxa"/>
              <w:bottom w:w="100" w:type="dxa"/>
              <w:right w:w="120" w:type="dxa"/>
            </w:tcMar>
          </w:tcPr>
          <w:p w14:paraId="022BF4E4" w14:textId="77777777" w:rsidR="001515F2" w:rsidRDefault="005C104D">
            <w:pPr>
              <w:jc w:val="both"/>
            </w:pPr>
            <w:r>
              <w:t>Can a party in breach of contract be held liable for consequential losses, such as lost profits, that were not foreseeable at the time the contract was made?</w:t>
            </w:r>
          </w:p>
        </w:tc>
      </w:tr>
      <w:tr w:rsidR="001515F2" w14:paraId="33882D02" w14:textId="77777777">
        <w:tc>
          <w:tcPr>
            <w:tcW w:w="1000" w:type="pct"/>
            <w:shd w:val="clear" w:color="auto" w:fill="D9D9D9"/>
            <w:tcMar>
              <w:top w:w="100" w:type="dxa"/>
              <w:left w:w="120" w:type="dxa"/>
              <w:bottom w:w="100" w:type="dxa"/>
              <w:right w:w="120" w:type="dxa"/>
            </w:tcMar>
            <w:vAlign w:val="center"/>
          </w:tcPr>
          <w:p w14:paraId="247A5359" w14:textId="77777777" w:rsidR="001515F2" w:rsidRDefault="005C104D">
            <w:r>
              <w:rPr>
                <w:b/>
                <w:bCs/>
              </w:rPr>
              <w:t>Rule</w:t>
            </w:r>
          </w:p>
        </w:tc>
        <w:tc>
          <w:tcPr>
            <w:tcW w:w="4000" w:type="pct"/>
            <w:tcMar>
              <w:top w:w="100" w:type="dxa"/>
              <w:left w:w="120" w:type="dxa"/>
              <w:bottom w:w="100" w:type="dxa"/>
              <w:right w:w="120" w:type="dxa"/>
            </w:tcMar>
          </w:tcPr>
          <w:p w14:paraId="03DC3FCC" w14:textId="77777777" w:rsidR="001515F2" w:rsidRDefault="005C104D">
            <w:pPr>
              <w:jc w:val="both"/>
            </w:pPr>
            <w:r>
              <w:t>Damages are recoverable only if they arise naturally from the breach in the usual course of things, or if they were within the reasonable contemplation of both parties because special circumstances were communicated at the time of contracting.</w:t>
            </w:r>
          </w:p>
        </w:tc>
      </w:tr>
      <w:tr w:rsidR="001515F2" w14:paraId="75C3B27D" w14:textId="77777777">
        <w:tc>
          <w:tcPr>
            <w:tcW w:w="1000" w:type="pct"/>
            <w:shd w:val="clear" w:color="auto" w:fill="D9D9D9"/>
            <w:tcMar>
              <w:top w:w="100" w:type="dxa"/>
              <w:left w:w="120" w:type="dxa"/>
              <w:bottom w:w="100" w:type="dxa"/>
              <w:right w:w="120" w:type="dxa"/>
            </w:tcMar>
            <w:vAlign w:val="center"/>
          </w:tcPr>
          <w:p w14:paraId="0A336C8A" w14:textId="77777777" w:rsidR="001515F2" w:rsidRDefault="005C104D">
            <w:r>
              <w:rPr>
                <w:b/>
                <w:bCs/>
              </w:rPr>
              <w:lastRenderedPageBreak/>
              <w:t>Application</w:t>
            </w:r>
          </w:p>
        </w:tc>
        <w:tc>
          <w:tcPr>
            <w:tcW w:w="4000" w:type="pct"/>
            <w:tcMar>
              <w:top w:w="100" w:type="dxa"/>
              <w:left w:w="120" w:type="dxa"/>
              <w:bottom w:w="100" w:type="dxa"/>
              <w:right w:w="120" w:type="dxa"/>
            </w:tcMar>
          </w:tcPr>
          <w:p w14:paraId="71D79032" w14:textId="77777777" w:rsidR="001515F2" w:rsidRDefault="005C104D">
            <w:pPr>
              <w:jc w:val="both"/>
            </w:pPr>
            <w:r>
              <w:t>Hadley requested fast delivery of the broken crankshaft but never told the carrier that the mill had no spare part and would be forced to close entirely pending its return; the resulting loss of profits was not a natural consequence of ordinary delay and was not covered by any special notice.</w:t>
            </w:r>
          </w:p>
        </w:tc>
      </w:tr>
      <w:tr w:rsidR="001515F2" w14:paraId="3F1871D8" w14:textId="77777777">
        <w:tc>
          <w:tcPr>
            <w:tcW w:w="1000" w:type="pct"/>
            <w:shd w:val="clear" w:color="auto" w:fill="D9D9D9"/>
            <w:tcMar>
              <w:top w:w="100" w:type="dxa"/>
              <w:left w:w="120" w:type="dxa"/>
              <w:bottom w:w="100" w:type="dxa"/>
              <w:right w:w="120" w:type="dxa"/>
            </w:tcMar>
            <w:vAlign w:val="center"/>
          </w:tcPr>
          <w:p w14:paraId="6FA36E00" w14:textId="77777777" w:rsidR="001515F2" w:rsidRDefault="005C104D">
            <w:r>
              <w:rPr>
                <w:b/>
                <w:bCs/>
              </w:rPr>
              <w:t>Conclusion</w:t>
            </w:r>
          </w:p>
        </w:tc>
        <w:tc>
          <w:tcPr>
            <w:tcW w:w="4000" w:type="pct"/>
            <w:tcMar>
              <w:top w:w="100" w:type="dxa"/>
              <w:left w:w="120" w:type="dxa"/>
              <w:bottom w:w="100" w:type="dxa"/>
              <w:right w:w="120" w:type="dxa"/>
            </w:tcMar>
          </w:tcPr>
          <w:p w14:paraId="6BBFFB4C" w14:textId="77777777" w:rsidR="001515F2" w:rsidRDefault="005C104D">
            <w:pPr>
              <w:jc w:val="both"/>
            </w:pPr>
            <w:r>
              <w:t>Baxendale was not liable for the mill's lost profits. A new trial was ordered, with the jury directed to exclude unforeseeable consequential damages from any award.</w:t>
            </w:r>
          </w:p>
        </w:tc>
      </w:tr>
    </w:tbl>
    <w:p w14:paraId="27D44037" w14:textId="77777777" w:rsidR="005C104D" w:rsidRDefault="005C104D"/>
    <w:sectPr w:rsidR="005C1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DE4E" w14:textId="77777777" w:rsidR="00890861" w:rsidRDefault="00890861">
      <w:r>
        <w:separator/>
      </w:r>
    </w:p>
  </w:endnote>
  <w:endnote w:type="continuationSeparator" w:id="0">
    <w:p w14:paraId="44DEA4C0" w14:textId="77777777" w:rsidR="00890861" w:rsidRDefault="00890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8A6F" w14:textId="77777777" w:rsidR="001515F2" w:rsidRDefault="005C104D">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4F173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BD602" w14:textId="77777777" w:rsidR="00890861" w:rsidRDefault="00890861">
      <w:r>
        <w:separator/>
      </w:r>
    </w:p>
  </w:footnote>
  <w:footnote w:type="continuationSeparator" w:id="0">
    <w:p w14:paraId="62369C69" w14:textId="77777777" w:rsidR="00890861" w:rsidRDefault="00890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FED0" w14:textId="77777777" w:rsidR="001515F2" w:rsidRDefault="005C104D">
    <w:pPr>
      <w:jc w:val="right"/>
    </w:pPr>
    <w:r>
      <w:rPr>
        <w:i/>
        <w:iCs/>
        <w:color w:val="555555"/>
        <w:sz w:val="16"/>
        <w:szCs w:val="16"/>
      </w:rPr>
      <w:t>Hadley v Baxendale —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C39D6"/>
    <w:multiLevelType w:val="hybridMultilevel"/>
    <w:tmpl w:val="772C42EA"/>
    <w:lvl w:ilvl="0" w:tplc="7CDC6FD4">
      <w:start w:val="1"/>
      <w:numFmt w:val="bullet"/>
      <w:lvlText w:val="●"/>
      <w:lvlJc w:val="left"/>
      <w:pPr>
        <w:ind w:left="720" w:hanging="360"/>
      </w:pPr>
    </w:lvl>
    <w:lvl w:ilvl="1" w:tplc="907EC328">
      <w:start w:val="1"/>
      <w:numFmt w:val="bullet"/>
      <w:lvlText w:val="○"/>
      <w:lvlJc w:val="left"/>
      <w:pPr>
        <w:ind w:left="1440" w:hanging="360"/>
      </w:pPr>
    </w:lvl>
    <w:lvl w:ilvl="2" w:tplc="622EF8D2">
      <w:start w:val="1"/>
      <w:numFmt w:val="bullet"/>
      <w:lvlText w:val="■"/>
      <w:lvlJc w:val="left"/>
      <w:pPr>
        <w:ind w:left="2160" w:hanging="360"/>
      </w:pPr>
    </w:lvl>
    <w:lvl w:ilvl="3" w:tplc="56C08C68">
      <w:start w:val="1"/>
      <w:numFmt w:val="bullet"/>
      <w:lvlText w:val="●"/>
      <w:lvlJc w:val="left"/>
      <w:pPr>
        <w:ind w:left="2880" w:hanging="360"/>
      </w:pPr>
    </w:lvl>
    <w:lvl w:ilvl="4" w:tplc="EFFAEB34">
      <w:start w:val="1"/>
      <w:numFmt w:val="bullet"/>
      <w:lvlText w:val="○"/>
      <w:lvlJc w:val="left"/>
      <w:pPr>
        <w:ind w:left="3600" w:hanging="360"/>
      </w:pPr>
    </w:lvl>
    <w:lvl w:ilvl="5" w:tplc="C6C2B7BC">
      <w:start w:val="1"/>
      <w:numFmt w:val="bullet"/>
      <w:lvlText w:val="■"/>
      <w:lvlJc w:val="left"/>
      <w:pPr>
        <w:ind w:left="4320" w:hanging="360"/>
      </w:pPr>
    </w:lvl>
    <w:lvl w:ilvl="6" w:tplc="3AA09776">
      <w:start w:val="1"/>
      <w:numFmt w:val="bullet"/>
      <w:lvlText w:val="●"/>
      <w:lvlJc w:val="left"/>
      <w:pPr>
        <w:ind w:left="5040" w:hanging="360"/>
      </w:pPr>
    </w:lvl>
    <w:lvl w:ilvl="7" w:tplc="FAE826C2">
      <w:start w:val="1"/>
      <w:numFmt w:val="bullet"/>
      <w:lvlText w:val="●"/>
      <w:lvlJc w:val="left"/>
      <w:pPr>
        <w:ind w:left="5760" w:hanging="360"/>
      </w:pPr>
    </w:lvl>
    <w:lvl w:ilvl="8" w:tplc="53A69794">
      <w:start w:val="1"/>
      <w:numFmt w:val="bullet"/>
      <w:lvlText w:val="●"/>
      <w:lvlJc w:val="left"/>
      <w:pPr>
        <w:ind w:left="6480" w:hanging="360"/>
      </w:pPr>
    </w:lvl>
  </w:abstractNum>
  <w:abstractNum w:abstractNumId="1" w15:restartNumberingAfterBreak="0">
    <w:nsid w:val="700824DE"/>
    <w:multiLevelType w:val="hybridMultilevel"/>
    <w:tmpl w:val="31948B5E"/>
    <w:lvl w:ilvl="0" w:tplc="2B40C474">
      <w:start w:val="1"/>
      <w:numFmt w:val="bullet"/>
      <w:lvlText w:val="•"/>
      <w:lvlJc w:val="left"/>
      <w:pPr>
        <w:ind w:left="540" w:hanging="260"/>
      </w:pPr>
      <w:rPr>
        <w:rFonts w:ascii="Times New Roman" w:eastAsia="Times New Roman" w:hAnsi="Times New Roman" w:cs="Times New Roman"/>
      </w:rPr>
    </w:lvl>
    <w:lvl w:ilvl="1" w:tplc="33D84A38">
      <w:numFmt w:val="decimal"/>
      <w:lvlText w:val=""/>
      <w:lvlJc w:val="left"/>
    </w:lvl>
    <w:lvl w:ilvl="2" w:tplc="AD82C142">
      <w:numFmt w:val="decimal"/>
      <w:lvlText w:val=""/>
      <w:lvlJc w:val="left"/>
    </w:lvl>
    <w:lvl w:ilvl="3" w:tplc="A0AE9A58">
      <w:numFmt w:val="decimal"/>
      <w:lvlText w:val=""/>
      <w:lvlJc w:val="left"/>
    </w:lvl>
    <w:lvl w:ilvl="4" w:tplc="B68456DE">
      <w:numFmt w:val="decimal"/>
      <w:lvlText w:val=""/>
      <w:lvlJc w:val="left"/>
    </w:lvl>
    <w:lvl w:ilvl="5" w:tplc="DDC0D3BE">
      <w:numFmt w:val="decimal"/>
      <w:lvlText w:val=""/>
      <w:lvlJc w:val="left"/>
    </w:lvl>
    <w:lvl w:ilvl="6" w:tplc="CFAEF330">
      <w:numFmt w:val="decimal"/>
      <w:lvlText w:val=""/>
      <w:lvlJc w:val="left"/>
    </w:lvl>
    <w:lvl w:ilvl="7" w:tplc="08E0D2D6">
      <w:numFmt w:val="decimal"/>
      <w:lvlText w:val=""/>
      <w:lvlJc w:val="left"/>
    </w:lvl>
    <w:lvl w:ilvl="8" w:tplc="D5A49C70">
      <w:numFmt w:val="decimal"/>
      <w:lvlText w:val=""/>
      <w:lvlJc w:val="left"/>
    </w:lvl>
  </w:abstractNum>
  <w:num w:numId="1" w16cid:durableId="479688347">
    <w:abstractNumId w:val="0"/>
    <w:lvlOverride w:ilvl="0">
      <w:startOverride w:val="1"/>
    </w:lvlOverride>
  </w:num>
  <w:num w:numId="2" w16cid:durableId="3299183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5F2"/>
    <w:rsid w:val="001515F2"/>
    <w:rsid w:val="004F1731"/>
    <w:rsid w:val="005C104D"/>
    <w:rsid w:val="00716BB0"/>
    <w:rsid w:val="00840A95"/>
    <w:rsid w:val="00890861"/>
    <w:rsid w:val="008D7643"/>
    <w:rsid w:val="00E22DAB"/>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D7ED9"/>
  <w15:docId w15:val="{48992368-0B40-4DD5-B93B-E94DBE24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2878</Words>
  <Characters>16409</Characters>
  <Application>Microsoft Office Word</Application>
  <DocSecurity>0</DocSecurity>
  <Lines>136</Lines>
  <Paragraphs>38</Paragraphs>
  <ScaleCrop>false</ScaleCrop>
  <Company/>
  <LinksUpToDate>false</LinksUpToDate>
  <CharactersWithSpaces>19249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2</cp:revision>
  <dcterms:created xsi:type="dcterms:W3CDTF">2026-09-24T17:57:00Z</dcterms:created>
  <dcterms:modified xsi:type="dcterms:W3CDTF">2026-09-24T17:57:00Z</dcterms:modified>
</cp:coreProperties>
</file>