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5615" w14:textId="77777777" w:rsidR="000B629E" w:rsidRPr="006058CF" w:rsidRDefault="000B629E">
      <w:pPr>
        <w:spacing w:before="200" w:after="200"/>
        <w:jc w:val="center"/>
        <w:rPr>
          <w:b/>
          <w:bCs/>
          <w:color w:val="000000" w:themeColor="text1"/>
          <w:sz w:val="24"/>
          <w:szCs w:val="24"/>
        </w:rPr>
      </w:pPr>
    </w:p>
    <w:p w14:paraId="40B10EE6" w14:textId="77777777" w:rsidR="000B629E" w:rsidRPr="006058CF" w:rsidRDefault="000B629E">
      <w:pPr>
        <w:spacing w:before="200" w:after="200"/>
        <w:jc w:val="center"/>
        <w:rPr>
          <w:b/>
          <w:bCs/>
          <w:color w:val="000000" w:themeColor="text1"/>
          <w:sz w:val="80"/>
          <w:szCs w:val="80"/>
        </w:rPr>
      </w:pPr>
    </w:p>
    <w:p w14:paraId="752188F0" w14:textId="77777777" w:rsidR="00313B20" w:rsidRPr="006058CF" w:rsidRDefault="00313B20">
      <w:pPr>
        <w:spacing w:before="200" w:after="200"/>
        <w:jc w:val="center"/>
        <w:rPr>
          <w:b/>
          <w:bCs/>
          <w:color w:val="000000" w:themeColor="text1"/>
          <w:sz w:val="80"/>
          <w:szCs w:val="80"/>
        </w:rPr>
      </w:pPr>
    </w:p>
    <w:p w14:paraId="613AD854" w14:textId="38F240E9" w:rsidR="000E5C08" w:rsidRPr="006058CF" w:rsidRDefault="00000000">
      <w:pPr>
        <w:spacing w:before="200" w:after="200"/>
        <w:jc w:val="center"/>
        <w:rPr>
          <w:b/>
          <w:bCs/>
          <w:color w:val="000000" w:themeColor="text1"/>
          <w:sz w:val="80"/>
          <w:szCs w:val="80"/>
        </w:rPr>
      </w:pPr>
      <w:r w:rsidRPr="006058CF">
        <w:rPr>
          <w:b/>
          <w:bCs/>
          <w:color w:val="000000" w:themeColor="text1"/>
          <w:sz w:val="80"/>
          <w:szCs w:val="80"/>
        </w:rPr>
        <w:t>CASE ANALYSIS</w:t>
      </w:r>
    </w:p>
    <w:p w14:paraId="6E3F21BF" w14:textId="77777777" w:rsidR="000B629E" w:rsidRPr="006058CF" w:rsidRDefault="000B629E" w:rsidP="000B629E">
      <w:pPr>
        <w:spacing w:before="200" w:after="200"/>
        <w:rPr>
          <w:color w:val="000000" w:themeColor="text1"/>
        </w:rPr>
      </w:pPr>
    </w:p>
    <w:p w14:paraId="298A0A86" w14:textId="23F995BD" w:rsidR="000E5C08" w:rsidRPr="001A007E" w:rsidRDefault="00000000" w:rsidP="00313B20">
      <w:pPr>
        <w:spacing w:after="150"/>
        <w:ind w:left="1440"/>
        <w:rPr>
          <w:b/>
          <w:bCs/>
          <w:color w:val="000000" w:themeColor="text1"/>
          <w:sz w:val="30"/>
          <w:szCs w:val="30"/>
        </w:rPr>
      </w:pPr>
      <w:r w:rsidRPr="001A007E">
        <w:rPr>
          <w:b/>
          <w:bCs/>
          <w:color w:val="000000" w:themeColor="text1"/>
          <w:sz w:val="30"/>
          <w:szCs w:val="30"/>
        </w:rPr>
        <w:t>Offer, Acceptance, and the Unilateral Contract:</w:t>
      </w:r>
      <w:r w:rsidR="000B629E" w:rsidRPr="001A007E">
        <w:rPr>
          <w:b/>
          <w:bCs/>
          <w:color w:val="000000" w:themeColor="text1"/>
          <w:sz w:val="30"/>
          <w:szCs w:val="30"/>
        </w:rPr>
        <w:t xml:space="preserve"> </w:t>
      </w:r>
      <w:r w:rsidRPr="001A007E">
        <w:rPr>
          <w:b/>
          <w:bCs/>
          <w:color w:val="000000" w:themeColor="text1"/>
          <w:sz w:val="30"/>
          <w:szCs w:val="30"/>
        </w:rPr>
        <w:t>A Critical Analysis of Carlill v</w:t>
      </w:r>
      <w:r w:rsidR="000B629E" w:rsidRPr="001A007E">
        <w:rPr>
          <w:b/>
          <w:bCs/>
          <w:color w:val="000000" w:themeColor="text1"/>
          <w:sz w:val="30"/>
          <w:szCs w:val="30"/>
        </w:rPr>
        <w:t xml:space="preserve">s </w:t>
      </w:r>
      <w:r w:rsidRPr="001A007E">
        <w:rPr>
          <w:b/>
          <w:bCs/>
          <w:color w:val="000000" w:themeColor="text1"/>
          <w:sz w:val="30"/>
          <w:szCs w:val="30"/>
        </w:rPr>
        <w:t xml:space="preserve">Carbolic Smoke Ball Company [1893] </w:t>
      </w:r>
    </w:p>
    <w:p w14:paraId="75E01D08" w14:textId="77777777" w:rsidR="000B629E" w:rsidRPr="006058CF" w:rsidRDefault="000B629E" w:rsidP="000B629E">
      <w:pPr>
        <w:spacing w:after="150"/>
        <w:rPr>
          <w:b/>
          <w:bCs/>
          <w:color w:val="000000" w:themeColor="text1"/>
          <w:sz w:val="50"/>
          <w:szCs w:val="50"/>
        </w:rPr>
      </w:pPr>
    </w:p>
    <w:p w14:paraId="4790F8EE" w14:textId="77777777" w:rsidR="00313B20" w:rsidRPr="006058CF" w:rsidRDefault="00313B20" w:rsidP="000B629E">
      <w:pPr>
        <w:spacing w:after="150"/>
        <w:rPr>
          <w:b/>
          <w:bCs/>
          <w:color w:val="000000" w:themeColor="text1"/>
          <w:sz w:val="50"/>
          <w:szCs w:val="50"/>
        </w:rPr>
      </w:pPr>
    </w:p>
    <w:p w14:paraId="6E357369" w14:textId="77777777" w:rsidR="00313B20" w:rsidRPr="006058CF" w:rsidRDefault="00313B20" w:rsidP="000B629E">
      <w:pPr>
        <w:spacing w:after="150"/>
        <w:rPr>
          <w:b/>
          <w:bCs/>
          <w:color w:val="000000" w:themeColor="text1"/>
          <w:sz w:val="50"/>
          <w:szCs w:val="50"/>
        </w:rPr>
      </w:pPr>
    </w:p>
    <w:p w14:paraId="01F4EECE" w14:textId="77777777" w:rsidR="00313B20" w:rsidRPr="006058CF" w:rsidRDefault="00313B20" w:rsidP="000B629E">
      <w:pPr>
        <w:spacing w:after="150"/>
        <w:rPr>
          <w:b/>
          <w:bCs/>
          <w:color w:val="000000" w:themeColor="text1"/>
          <w:sz w:val="50"/>
          <w:szCs w:val="50"/>
        </w:rPr>
      </w:pPr>
    </w:p>
    <w:p w14:paraId="62A03F96" w14:textId="77777777" w:rsidR="00313B20" w:rsidRPr="006058CF" w:rsidRDefault="00313B20" w:rsidP="000B629E">
      <w:pPr>
        <w:spacing w:after="150"/>
        <w:rPr>
          <w:b/>
          <w:bCs/>
          <w:color w:val="000000" w:themeColor="text1"/>
          <w:sz w:val="50"/>
          <w:szCs w:val="50"/>
        </w:rPr>
      </w:pPr>
    </w:p>
    <w:p w14:paraId="76CC71C0" w14:textId="77777777" w:rsidR="00313B20" w:rsidRPr="006058CF" w:rsidRDefault="00313B20" w:rsidP="000B629E">
      <w:pPr>
        <w:spacing w:after="150"/>
        <w:rPr>
          <w:b/>
          <w:bCs/>
          <w:color w:val="000000" w:themeColor="text1"/>
          <w:sz w:val="50"/>
          <w:szCs w:val="50"/>
        </w:rPr>
      </w:pPr>
    </w:p>
    <w:p w14:paraId="307BCC4C" w14:textId="77777777" w:rsidR="000B629E" w:rsidRPr="006058CF" w:rsidRDefault="000B629E" w:rsidP="000B629E">
      <w:pPr>
        <w:spacing w:after="150"/>
        <w:rPr>
          <w:b/>
          <w:bCs/>
          <w:color w:val="000000" w:themeColor="text1"/>
          <w:sz w:val="50"/>
          <w:szCs w:val="50"/>
        </w:rPr>
      </w:pPr>
    </w:p>
    <w:p w14:paraId="37B7F7B7" w14:textId="38565594" w:rsidR="000B629E" w:rsidRPr="006058CF" w:rsidRDefault="000B629E" w:rsidP="00313B20">
      <w:pPr>
        <w:spacing w:after="150"/>
        <w:ind w:left="6480"/>
        <w:rPr>
          <w:b/>
          <w:bCs/>
          <w:color w:val="000000" w:themeColor="text1"/>
          <w:sz w:val="28"/>
          <w:szCs w:val="28"/>
        </w:rPr>
      </w:pPr>
      <w:r w:rsidRPr="006058CF">
        <w:rPr>
          <w:b/>
          <w:bCs/>
          <w:color w:val="000000" w:themeColor="text1"/>
          <w:sz w:val="28"/>
          <w:szCs w:val="28"/>
        </w:rPr>
        <w:t xml:space="preserve">Name: Manoj Kumar K </w:t>
      </w:r>
      <w:r w:rsidRPr="006058CF">
        <w:rPr>
          <w:b/>
          <w:bCs/>
          <w:color w:val="000000" w:themeColor="text1"/>
          <w:sz w:val="28"/>
          <w:szCs w:val="28"/>
        </w:rPr>
        <w:br/>
      </w:r>
      <w:r w:rsidR="00313B20" w:rsidRPr="006058CF">
        <w:rPr>
          <w:b/>
          <w:bCs/>
          <w:color w:val="000000" w:themeColor="text1"/>
          <w:sz w:val="28"/>
          <w:szCs w:val="28"/>
        </w:rPr>
        <w:t>R</w:t>
      </w:r>
      <w:r w:rsidRPr="006058CF">
        <w:rPr>
          <w:b/>
          <w:bCs/>
          <w:color w:val="000000" w:themeColor="text1"/>
          <w:sz w:val="28"/>
          <w:szCs w:val="28"/>
        </w:rPr>
        <w:t>egist</w:t>
      </w:r>
      <w:r w:rsidR="00313B20" w:rsidRPr="006058CF">
        <w:rPr>
          <w:b/>
          <w:bCs/>
          <w:color w:val="000000" w:themeColor="text1"/>
          <w:sz w:val="28"/>
          <w:szCs w:val="28"/>
        </w:rPr>
        <w:t>er no: 5272510210</w:t>
      </w:r>
      <w:r w:rsidR="00313B20" w:rsidRPr="006058CF">
        <w:rPr>
          <w:b/>
          <w:bCs/>
          <w:color w:val="000000" w:themeColor="text1"/>
          <w:sz w:val="28"/>
          <w:szCs w:val="28"/>
        </w:rPr>
        <w:br/>
        <w:t>Year: 2026</w:t>
      </w:r>
      <w:r w:rsidR="00313B20" w:rsidRPr="006058CF">
        <w:rPr>
          <w:b/>
          <w:bCs/>
          <w:color w:val="000000" w:themeColor="text1"/>
          <w:sz w:val="28"/>
          <w:szCs w:val="28"/>
        </w:rPr>
        <w:br/>
      </w:r>
    </w:p>
    <w:p w14:paraId="1BD9C8C5" w14:textId="77777777" w:rsidR="000B629E" w:rsidRPr="006058CF" w:rsidRDefault="000B629E">
      <w:pPr>
        <w:spacing w:after="300"/>
        <w:jc w:val="center"/>
        <w:rPr>
          <w:color w:val="000000" w:themeColor="text1"/>
          <w:sz w:val="22"/>
          <w:szCs w:val="22"/>
        </w:rPr>
      </w:pPr>
    </w:p>
    <w:p w14:paraId="2DA88636" w14:textId="77777777" w:rsidR="001A007E" w:rsidRDefault="001A007E" w:rsidP="00583AC2">
      <w:pPr>
        <w:spacing w:after="300"/>
        <w:rPr>
          <w:color w:val="000000" w:themeColor="text1"/>
          <w:sz w:val="28"/>
          <w:szCs w:val="28"/>
        </w:rPr>
      </w:pPr>
    </w:p>
    <w:p w14:paraId="494C795E" w14:textId="77777777" w:rsidR="001A007E" w:rsidRDefault="001A007E" w:rsidP="00583AC2">
      <w:pPr>
        <w:spacing w:after="300"/>
        <w:rPr>
          <w:color w:val="000000" w:themeColor="text1"/>
          <w:sz w:val="28"/>
          <w:szCs w:val="28"/>
        </w:rPr>
      </w:pPr>
    </w:p>
    <w:p w14:paraId="3F2B74AF" w14:textId="77777777" w:rsidR="001A007E" w:rsidRDefault="001A007E" w:rsidP="00583AC2">
      <w:pPr>
        <w:spacing w:after="300"/>
        <w:rPr>
          <w:color w:val="000000" w:themeColor="text1"/>
          <w:sz w:val="28"/>
          <w:szCs w:val="28"/>
        </w:rPr>
      </w:pPr>
    </w:p>
    <w:p w14:paraId="7CD786B7" w14:textId="77777777" w:rsidR="001A007E" w:rsidRDefault="001A007E" w:rsidP="00583AC2">
      <w:pPr>
        <w:spacing w:after="300"/>
        <w:rPr>
          <w:color w:val="000000" w:themeColor="text1"/>
          <w:sz w:val="28"/>
          <w:szCs w:val="28"/>
        </w:rPr>
      </w:pPr>
    </w:p>
    <w:p w14:paraId="64A75F20" w14:textId="012829C8" w:rsidR="0000105B" w:rsidRPr="006058CF" w:rsidRDefault="00583AC2" w:rsidP="00583AC2">
      <w:pPr>
        <w:spacing w:after="300"/>
        <w:rPr>
          <w:color w:val="000000" w:themeColor="text1"/>
          <w:sz w:val="28"/>
          <w:szCs w:val="28"/>
        </w:rPr>
      </w:pPr>
      <w:r w:rsidRPr="006058CF">
        <w:rPr>
          <w:color w:val="000000" w:themeColor="text1"/>
          <w:sz w:val="28"/>
          <w:szCs w:val="28"/>
        </w:rPr>
        <w:t>Table of Content</w:t>
      </w:r>
    </w:p>
    <w:p w14:paraId="0CD0BE05" w14:textId="77777777" w:rsidR="0000105B" w:rsidRPr="006058CF" w:rsidRDefault="0000105B">
      <w:pPr>
        <w:spacing w:after="300"/>
        <w:jc w:val="center"/>
        <w:rPr>
          <w:color w:val="000000" w:themeColor="text1"/>
          <w:sz w:val="22"/>
          <w:szCs w:val="22"/>
        </w:rPr>
      </w:pPr>
    </w:p>
    <w:p w14:paraId="31B4E78B" w14:textId="6068BBD5" w:rsidR="00345CAA" w:rsidRPr="006058CF" w:rsidRDefault="00345CAA" w:rsidP="00345CAA">
      <w:pPr>
        <w:spacing w:after="300"/>
        <w:rPr>
          <w:color w:val="000000" w:themeColor="text1"/>
          <w:sz w:val="22"/>
          <w:szCs w:val="22"/>
        </w:rPr>
      </w:pPr>
    </w:p>
    <w:p w14:paraId="6BF37BF1" w14:textId="77777777" w:rsidR="000B629E" w:rsidRPr="006058CF" w:rsidRDefault="000B629E">
      <w:pPr>
        <w:spacing w:after="300"/>
        <w:jc w:val="center"/>
        <w:rPr>
          <w:color w:val="000000" w:themeColor="text1"/>
          <w:sz w:val="22"/>
          <w:szCs w:val="22"/>
        </w:rPr>
      </w:pPr>
    </w:p>
    <w:tbl>
      <w:tblPr>
        <w:tblStyle w:val="TableGrid"/>
        <w:tblpPr w:leftFromText="180" w:rightFromText="180" w:vertAnchor="page" w:horzAnchor="page" w:tblpX="2401" w:tblpY="3331"/>
        <w:tblW w:w="4902" w:type="dxa"/>
        <w:tblLook w:val="04A0" w:firstRow="1" w:lastRow="0" w:firstColumn="1" w:lastColumn="0" w:noHBand="0" w:noVBand="1"/>
      </w:tblPr>
      <w:tblGrid>
        <w:gridCol w:w="1129"/>
        <w:gridCol w:w="3773"/>
      </w:tblGrid>
      <w:tr w:rsidR="00345CAA" w:rsidRPr="006058CF" w14:paraId="266CA9F7" w14:textId="77777777" w:rsidTr="0000105B">
        <w:trPr>
          <w:trHeight w:val="699"/>
        </w:trPr>
        <w:tc>
          <w:tcPr>
            <w:tcW w:w="1129" w:type="dxa"/>
          </w:tcPr>
          <w:p w14:paraId="270D53AD" w14:textId="55AA3092" w:rsidR="00345CAA" w:rsidRPr="006058CF" w:rsidRDefault="00836BF7" w:rsidP="0000105B">
            <w:pPr>
              <w:spacing w:after="300"/>
              <w:rPr>
                <w:color w:val="000000" w:themeColor="text1"/>
                <w:sz w:val="28"/>
                <w:szCs w:val="28"/>
              </w:rPr>
            </w:pPr>
            <w:r w:rsidRPr="006058CF">
              <w:rPr>
                <w:color w:val="000000" w:themeColor="text1"/>
                <w:sz w:val="28"/>
                <w:szCs w:val="28"/>
              </w:rPr>
              <w:t>S.</w:t>
            </w:r>
            <w:r w:rsidR="00937EE7" w:rsidRPr="006058CF">
              <w:rPr>
                <w:color w:val="000000" w:themeColor="text1"/>
                <w:sz w:val="28"/>
                <w:szCs w:val="28"/>
              </w:rPr>
              <w:t>no</w:t>
            </w:r>
          </w:p>
        </w:tc>
        <w:tc>
          <w:tcPr>
            <w:tcW w:w="3773" w:type="dxa"/>
          </w:tcPr>
          <w:p w14:paraId="454FEE10" w14:textId="3D3DE76C" w:rsidR="00345CAA" w:rsidRPr="006058CF" w:rsidRDefault="00937EE7" w:rsidP="0000105B">
            <w:pPr>
              <w:spacing w:after="300"/>
              <w:rPr>
                <w:color w:val="000000" w:themeColor="text1"/>
                <w:sz w:val="28"/>
                <w:szCs w:val="28"/>
              </w:rPr>
            </w:pPr>
            <w:r w:rsidRPr="006058CF">
              <w:rPr>
                <w:color w:val="000000" w:themeColor="text1"/>
                <w:sz w:val="28"/>
                <w:szCs w:val="28"/>
              </w:rPr>
              <w:t>T</w:t>
            </w:r>
            <w:r w:rsidR="0000105B" w:rsidRPr="006058CF">
              <w:rPr>
                <w:color w:val="000000" w:themeColor="text1"/>
                <w:sz w:val="28"/>
                <w:szCs w:val="28"/>
              </w:rPr>
              <w:t>opics</w:t>
            </w:r>
          </w:p>
        </w:tc>
      </w:tr>
      <w:tr w:rsidR="00345CAA" w:rsidRPr="006058CF" w14:paraId="0E5B603C" w14:textId="77777777" w:rsidTr="0000105B">
        <w:trPr>
          <w:trHeight w:val="680"/>
        </w:trPr>
        <w:tc>
          <w:tcPr>
            <w:tcW w:w="1129" w:type="dxa"/>
          </w:tcPr>
          <w:p w14:paraId="31C12D84" w14:textId="177C7609" w:rsidR="00345CAA" w:rsidRPr="006058CF" w:rsidRDefault="007905CA" w:rsidP="0000105B">
            <w:pPr>
              <w:spacing w:after="300"/>
              <w:rPr>
                <w:color w:val="000000" w:themeColor="text1"/>
                <w:sz w:val="22"/>
                <w:szCs w:val="22"/>
              </w:rPr>
            </w:pPr>
            <w:r w:rsidRPr="006058CF">
              <w:rPr>
                <w:color w:val="000000" w:themeColor="text1"/>
                <w:sz w:val="22"/>
                <w:szCs w:val="22"/>
              </w:rPr>
              <w:t>1</w:t>
            </w:r>
          </w:p>
        </w:tc>
        <w:tc>
          <w:tcPr>
            <w:tcW w:w="3773" w:type="dxa"/>
          </w:tcPr>
          <w:p w14:paraId="5AFBF10D" w14:textId="22DB7DE9" w:rsidR="00345CAA" w:rsidRPr="006058CF" w:rsidRDefault="00355176" w:rsidP="0000105B">
            <w:pPr>
              <w:spacing w:after="300"/>
              <w:rPr>
                <w:color w:val="000000" w:themeColor="text1"/>
                <w:sz w:val="28"/>
                <w:szCs w:val="28"/>
              </w:rPr>
            </w:pPr>
            <w:r w:rsidRPr="006058CF">
              <w:rPr>
                <w:color w:val="000000" w:themeColor="text1"/>
                <w:sz w:val="28"/>
                <w:szCs w:val="28"/>
              </w:rPr>
              <w:t xml:space="preserve">Introduction </w:t>
            </w:r>
          </w:p>
        </w:tc>
      </w:tr>
      <w:tr w:rsidR="00345CAA" w:rsidRPr="006058CF" w14:paraId="33265D76" w14:textId="77777777" w:rsidTr="0000105B">
        <w:trPr>
          <w:trHeight w:val="699"/>
        </w:trPr>
        <w:tc>
          <w:tcPr>
            <w:tcW w:w="1129" w:type="dxa"/>
          </w:tcPr>
          <w:p w14:paraId="62878F79" w14:textId="1CC8F40A" w:rsidR="00345CAA" w:rsidRPr="006058CF" w:rsidRDefault="007905CA" w:rsidP="0000105B">
            <w:pPr>
              <w:spacing w:after="300"/>
              <w:rPr>
                <w:color w:val="000000" w:themeColor="text1"/>
                <w:sz w:val="22"/>
                <w:szCs w:val="22"/>
              </w:rPr>
            </w:pPr>
            <w:r w:rsidRPr="006058CF">
              <w:rPr>
                <w:color w:val="000000" w:themeColor="text1"/>
                <w:sz w:val="22"/>
                <w:szCs w:val="22"/>
              </w:rPr>
              <w:t>2</w:t>
            </w:r>
          </w:p>
        </w:tc>
        <w:tc>
          <w:tcPr>
            <w:tcW w:w="3773" w:type="dxa"/>
          </w:tcPr>
          <w:p w14:paraId="0597FF36" w14:textId="72572B51" w:rsidR="00345CAA" w:rsidRPr="006058CF" w:rsidRDefault="00E946DD" w:rsidP="0000105B">
            <w:pPr>
              <w:spacing w:after="300"/>
              <w:rPr>
                <w:color w:val="000000" w:themeColor="text1"/>
                <w:sz w:val="28"/>
                <w:szCs w:val="28"/>
              </w:rPr>
            </w:pPr>
            <w:r w:rsidRPr="006058CF">
              <w:rPr>
                <w:color w:val="000000" w:themeColor="text1"/>
                <w:sz w:val="28"/>
                <w:szCs w:val="28"/>
              </w:rPr>
              <w:t>Facts of the Case</w:t>
            </w:r>
          </w:p>
        </w:tc>
      </w:tr>
      <w:tr w:rsidR="00345CAA" w:rsidRPr="006058CF" w14:paraId="5D8A950E" w14:textId="77777777" w:rsidTr="0000105B">
        <w:trPr>
          <w:trHeight w:val="680"/>
        </w:trPr>
        <w:tc>
          <w:tcPr>
            <w:tcW w:w="1129" w:type="dxa"/>
          </w:tcPr>
          <w:p w14:paraId="61DC3D19" w14:textId="6446E305" w:rsidR="00345CAA" w:rsidRPr="006058CF" w:rsidRDefault="007905CA" w:rsidP="0000105B">
            <w:pPr>
              <w:spacing w:after="300"/>
              <w:rPr>
                <w:color w:val="000000" w:themeColor="text1"/>
                <w:sz w:val="22"/>
                <w:szCs w:val="22"/>
              </w:rPr>
            </w:pPr>
            <w:r w:rsidRPr="006058CF">
              <w:rPr>
                <w:color w:val="000000" w:themeColor="text1"/>
                <w:sz w:val="22"/>
                <w:szCs w:val="22"/>
              </w:rPr>
              <w:t>3</w:t>
            </w:r>
          </w:p>
        </w:tc>
        <w:tc>
          <w:tcPr>
            <w:tcW w:w="3773" w:type="dxa"/>
          </w:tcPr>
          <w:p w14:paraId="5920E1FD" w14:textId="4FCC9663" w:rsidR="00345CAA" w:rsidRPr="006058CF" w:rsidRDefault="00E946DD" w:rsidP="0000105B">
            <w:pPr>
              <w:spacing w:after="300"/>
              <w:rPr>
                <w:color w:val="000000" w:themeColor="text1"/>
                <w:sz w:val="28"/>
                <w:szCs w:val="28"/>
              </w:rPr>
            </w:pPr>
            <w:r w:rsidRPr="006058CF">
              <w:rPr>
                <w:color w:val="000000" w:themeColor="text1"/>
                <w:sz w:val="28"/>
                <w:szCs w:val="28"/>
              </w:rPr>
              <w:t>Lega</w:t>
            </w:r>
            <w:r w:rsidR="0099017C" w:rsidRPr="006058CF">
              <w:rPr>
                <w:color w:val="000000" w:themeColor="text1"/>
                <w:sz w:val="28"/>
                <w:szCs w:val="28"/>
              </w:rPr>
              <w:t>l Issues</w:t>
            </w:r>
          </w:p>
        </w:tc>
      </w:tr>
      <w:tr w:rsidR="00345CAA" w:rsidRPr="006058CF" w14:paraId="7A80A64C" w14:textId="77777777" w:rsidTr="0000105B">
        <w:trPr>
          <w:trHeight w:val="699"/>
        </w:trPr>
        <w:tc>
          <w:tcPr>
            <w:tcW w:w="1129" w:type="dxa"/>
          </w:tcPr>
          <w:p w14:paraId="28851460" w14:textId="0E802A49" w:rsidR="00345CAA" w:rsidRPr="006058CF" w:rsidRDefault="007905CA" w:rsidP="0000105B">
            <w:pPr>
              <w:spacing w:after="300"/>
              <w:rPr>
                <w:color w:val="000000" w:themeColor="text1"/>
                <w:sz w:val="22"/>
                <w:szCs w:val="22"/>
              </w:rPr>
            </w:pPr>
            <w:r w:rsidRPr="006058CF">
              <w:rPr>
                <w:color w:val="000000" w:themeColor="text1"/>
                <w:sz w:val="22"/>
                <w:szCs w:val="22"/>
              </w:rPr>
              <w:t>4</w:t>
            </w:r>
          </w:p>
        </w:tc>
        <w:tc>
          <w:tcPr>
            <w:tcW w:w="3773" w:type="dxa"/>
          </w:tcPr>
          <w:p w14:paraId="146B7BFF" w14:textId="6B349E9B" w:rsidR="00345CAA" w:rsidRPr="006058CF" w:rsidRDefault="0099017C" w:rsidP="0000105B">
            <w:pPr>
              <w:spacing w:after="300"/>
              <w:rPr>
                <w:color w:val="000000" w:themeColor="text1"/>
                <w:sz w:val="28"/>
                <w:szCs w:val="28"/>
              </w:rPr>
            </w:pPr>
            <w:r w:rsidRPr="006058CF">
              <w:rPr>
                <w:color w:val="000000" w:themeColor="text1"/>
                <w:sz w:val="28"/>
                <w:szCs w:val="28"/>
              </w:rPr>
              <w:t>Judgement</w:t>
            </w:r>
          </w:p>
        </w:tc>
      </w:tr>
      <w:tr w:rsidR="00345CAA" w:rsidRPr="006058CF" w14:paraId="05B2C499" w14:textId="77777777" w:rsidTr="0000105B">
        <w:trPr>
          <w:trHeight w:val="680"/>
        </w:trPr>
        <w:tc>
          <w:tcPr>
            <w:tcW w:w="1129" w:type="dxa"/>
          </w:tcPr>
          <w:p w14:paraId="3478A872" w14:textId="65E2E279" w:rsidR="00345CAA" w:rsidRPr="006058CF" w:rsidRDefault="007905CA" w:rsidP="0000105B">
            <w:pPr>
              <w:spacing w:after="300"/>
              <w:rPr>
                <w:color w:val="000000" w:themeColor="text1"/>
                <w:sz w:val="22"/>
                <w:szCs w:val="22"/>
              </w:rPr>
            </w:pPr>
            <w:r w:rsidRPr="006058CF">
              <w:rPr>
                <w:color w:val="000000" w:themeColor="text1"/>
                <w:sz w:val="22"/>
                <w:szCs w:val="22"/>
              </w:rPr>
              <w:t>5</w:t>
            </w:r>
          </w:p>
        </w:tc>
        <w:tc>
          <w:tcPr>
            <w:tcW w:w="3773" w:type="dxa"/>
          </w:tcPr>
          <w:p w14:paraId="13E2FA8E" w14:textId="5C3B732E" w:rsidR="00345CAA" w:rsidRPr="006058CF" w:rsidRDefault="00EE74F4" w:rsidP="0000105B">
            <w:pPr>
              <w:spacing w:after="300"/>
              <w:rPr>
                <w:color w:val="000000" w:themeColor="text1"/>
                <w:sz w:val="28"/>
                <w:szCs w:val="28"/>
              </w:rPr>
            </w:pPr>
            <w:r w:rsidRPr="006058CF">
              <w:rPr>
                <w:color w:val="000000" w:themeColor="text1"/>
                <w:sz w:val="28"/>
                <w:szCs w:val="28"/>
              </w:rPr>
              <w:t>Legal Principles</w:t>
            </w:r>
            <w:r w:rsidR="00EF4AF8" w:rsidRPr="006058CF">
              <w:rPr>
                <w:color w:val="000000" w:themeColor="text1"/>
                <w:sz w:val="28"/>
                <w:szCs w:val="28"/>
              </w:rPr>
              <w:t xml:space="preserve">: </w:t>
            </w:r>
            <w:r w:rsidR="00960B63" w:rsidRPr="006058CF">
              <w:rPr>
                <w:color w:val="000000" w:themeColor="text1"/>
                <w:sz w:val="28"/>
                <w:szCs w:val="28"/>
              </w:rPr>
              <w:t>Contract Formation Analysis</w:t>
            </w:r>
          </w:p>
        </w:tc>
      </w:tr>
      <w:tr w:rsidR="00345CAA" w:rsidRPr="006058CF" w14:paraId="726055FF" w14:textId="77777777" w:rsidTr="0000105B">
        <w:trPr>
          <w:trHeight w:val="680"/>
        </w:trPr>
        <w:tc>
          <w:tcPr>
            <w:tcW w:w="1129" w:type="dxa"/>
          </w:tcPr>
          <w:p w14:paraId="362CDF19" w14:textId="4C171F63" w:rsidR="00345CAA" w:rsidRPr="006058CF" w:rsidRDefault="007905CA" w:rsidP="0000105B">
            <w:pPr>
              <w:spacing w:after="300"/>
              <w:rPr>
                <w:color w:val="000000" w:themeColor="text1"/>
                <w:sz w:val="22"/>
                <w:szCs w:val="22"/>
              </w:rPr>
            </w:pPr>
            <w:r w:rsidRPr="006058CF">
              <w:rPr>
                <w:color w:val="000000" w:themeColor="text1"/>
                <w:sz w:val="22"/>
                <w:szCs w:val="22"/>
              </w:rPr>
              <w:t>6</w:t>
            </w:r>
          </w:p>
        </w:tc>
        <w:tc>
          <w:tcPr>
            <w:tcW w:w="3773" w:type="dxa"/>
          </w:tcPr>
          <w:p w14:paraId="7277A0CA" w14:textId="4DBBD925" w:rsidR="00345CAA" w:rsidRPr="006058CF" w:rsidRDefault="00960B63" w:rsidP="0000105B">
            <w:pPr>
              <w:spacing w:after="300"/>
              <w:rPr>
                <w:color w:val="000000" w:themeColor="text1"/>
                <w:sz w:val="28"/>
                <w:szCs w:val="28"/>
              </w:rPr>
            </w:pPr>
            <w:r w:rsidRPr="006058CF">
              <w:rPr>
                <w:color w:val="000000" w:themeColor="text1"/>
                <w:sz w:val="28"/>
                <w:szCs w:val="28"/>
              </w:rPr>
              <w:t>Business Relev</w:t>
            </w:r>
            <w:r w:rsidR="00EF4AF8" w:rsidRPr="006058CF">
              <w:rPr>
                <w:color w:val="000000" w:themeColor="text1"/>
                <w:sz w:val="28"/>
                <w:szCs w:val="28"/>
              </w:rPr>
              <w:t>ance</w:t>
            </w:r>
          </w:p>
        </w:tc>
      </w:tr>
      <w:tr w:rsidR="007905CA" w:rsidRPr="006058CF" w14:paraId="78BA2077" w14:textId="77777777" w:rsidTr="0000105B">
        <w:trPr>
          <w:trHeight w:val="680"/>
        </w:trPr>
        <w:tc>
          <w:tcPr>
            <w:tcW w:w="1129" w:type="dxa"/>
          </w:tcPr>
          <w:p w14:paraId="70AE85CB" w14:textId="2E1BF43B" w:rsidR="007905CA" w:rsidRPr="006058CF" w:rsidRDefault="007905CA" w:rsidP="0000105B">
            <w:pPr>
              <w:spacing w:after="300"/>
              <w:rPr>
                <w:color w:val="000000" w:themeColor="text1"/>
                <w:sz w:val="22"/>
                <w:szCs w:val="22"/>
              </w:rPr>
            </w:pPr>
            <w:r w:rsidRPr="006058CF">
              <w:rPr>
                <w:color w:val="000000" w:themeColor="text1"/>
                <w:sz w:val="22"/>
                <w:szCs w:val="22"/>
              </w:rPr>
              <w:t>7</w:t>
            </w:r>
          </w:p>
        </w:tc>
        <w:tc>
          <w:tcPr>
            <w:tcW w:w="3773" w:type="dxa"/>
          </w:tcPr>
          <w:p w14:paraId="724FC15E" w14:textId="5586C210" w:rsidR="007905CA" w:rsidRPr="006058CF" w:rsidRDefault="00EF4AF8" w:rsidP="0000105B">
            <w:pPr>
              <w:spacing w:after="300"/>
              <w:rPr>
                <w:color w:val="000000" w:themeColor="text1"/>
                <w:sz w:val="28"/>
                <w:szCs w:val="28"/>
              </w:rPr>
            </w:pPr>
            <w:r w:rsidRPr="006058CF">
              <w:rPr>
                <w:color w:val="000000" w:themeColor="text1"/>
                <w:sz w:val="28"/>
                <w:szCs w:val="28"/>
              </w:rPr>
              <w:t>Conclusion</w:t>
            </w:r>
          </w:p>
        </w:tc>
      </w:tr>
    </w:tbl>
    <w:p w14:paraId="0EBA2054" w14:textId="77777777" w:rsidR="000B629E" w:rsidRPr="006058CF" w:rsidRDefault="000B629E" w:rsidP="00345CAA">
      <w:pPr>
        <w:spacing w:after="300"/>
        <w:rPr>
          <w:color w:val="000000" w:themeColor="text1"/>
          <w:sz w:val="22"/>
          <w:szCs w:val="22"/>
        </w:rPr>
      </w:pPr>
    </w:p>
    <w:p w14:paraId="111AA2FF" w14:textId="77777777" w:rsidR="000B629E" w:rsidRPr="006058CF" w:rsidRDefault="000B629E">
      <w:pPr>
        <w:spacing w:after="300"/>
        <w:jc w:val="center"/>
        <w:rPr>
          <w:color w:val="000000" w:themeColor="text1"/>
          <w:sz w:val="22"/>
          <w:szCs w:val="22"/>
        </w:rPr>
      </w:pPr>
    </w:p>
    <w:p w14:paraId="018755EF" w14:textId="77777777" w:rsidR="000B629E" w:rsidRPr="006058CF" w:rsidRDefault="000B629E">
      <w:pPr>
        <w:spacing w:after="300"/>
        <w:jc w:val="center"/>
        <w:rPr>
          <w:color w:val="000000" w:themeColor="text1"/>
          <w:sz w:val="22"/>
          <w:szCs w:val="22"/>
        </w:rPr>
      </w:pPr>
    </w:p>
    <w:p w14:paraId="37F9C525" w14:textId="77777777" w:rsidR="000B629E" w:rsidRPr="006058CF" w:rsidRDefault="000B629E">
      <w:pPr>
        <w:spacing w:after="300"/>
        <w:jc w:val="center"/>
        <w:rPr>
          <w:color w:val="000000" w:themeColor="text1"/>
          <w:sz w:val="22"/>
          <w:szCs w:val="22"/>
        </w:rPr>
      </w:pPr>
    </w:p>
    <w:p w14:paraId="1D056EB9" w14:textId="77777777" w:rsidR="000B629E" w:rsidRPr="006058CF" w:rsidRDefault="000B629E">
      <w:pPr>
        <w:spacing w:after="300"/>
        <w:jc w:val="center"/>
        <w:rPr>
          <w:color w:val="000000" w:themeColor="text1"/>
          <w:sz w:val="22"/>
          <w:szCs w:val="22"/>
        </w:rPr>
      </w:pPr>
    </w:p>
    <w:p w14:paraId="569CA224" w14:textId="77777777" w:rsidR="000B629E" w:rsidRPr="006058CF" w:rsidRDefault="000B629E">
      <w:pPr>
        <w:spacing w:after="300"/>
        <w:jc w:val="center"/>
        <w:rPr>
          <w:color w:val="000000" w:themeColor="text1"/>
          <w:sz w:val="22"/>
          <w:szCs w:val="22"/>
        </w:rPr>
      </w:pPr>
    </w:p>
    <w:p w14:paraId="2AFB25A1" w14:textId="77777777" w:rsidR="000B629E" w:rsidRPr="006058CF" w:rsidRDefault="000B629E">
      <w:pPr>
        <w:spacing w:after="300"/>
        <w:jc w:val="center"/>
        <w:rPr>
          <w:color w:val="000000" w:themeColor="text1"/>
          <w:sz w:val="22"/>
          <w:szCs w:val="22"/>
        </w:rPr>
      </w:pPr>
    </w:p>
    <w:p w14:paraId="34A1BB2D" w14:textId="77777777" w:rsidR="000B629E" w:rsidRPr="006058CF" w:rsidRDefault="000B629E">
      <w:pPr>
        <w:spacing w:after="300"/>
        <w:jc w:val="center"/>
        <w:rPr>
          <w:color w:val="000000" w:themeColor="text1"/>
          <w:sz w:val="22"/>
          <w:szCs w:val="22"/>
        </w:rPr>
      </w:pPr>
    </w:p>
    <w:p w14:paraId="19CA02BB" w14:textId="77777777" w:rsidR="000B629E" w:rsidRPr="006058CF" w:rsidRDefault="000B629E">
      <w:pPr>
        <w:spacing w:after="300"/>
        <w:jc w:val="center"/>
        <w:rPr>
          <w:color w:val="000000" w:themeColor="text1"/>
          <w:sz w:val="22"/>
          <w:szCs w:val="22"/>
        </w:rPr>
      </w:pPr>
    </w:p>
    <w:p w14:paraId="6886F161" w14:textId="77777777" w:rsidR="000B629E" w:rsidRPr="006058CF" w:rsidRDefault="000B629E">
      <w:pPr>
        <w:spacing w:after="300"/>
        <w:jc w:val="center"/>
        <w:rPr>
          <w:color w:val="000000" w:themeColor="text1"/>
          <w:sz w:val="22"/>
          <w:szCs w:val="22"/>
        </w:rPr>
      </w:pPr>
    </w:p>
    <w:p w14:paraId="08C55C36" w14:textId="77777777" w:rsidR="000B629E" w:rsidRPr="006058CF" w:rsidRDefault="000B629E">
      <w:pPr>
        <w:spacing w:after="300"/>
        <w:jc w:val="center"/>
        <w:rPr>
          <w:color w:val="000000" w:themeColor="text1"/>
          <w:sz w:val="22"/>
          <w:szCs w:val="22"/>
        </w:rPr>
      </w:pPr>
    </w:p>
    <w:p w14:paraId="46648594" w14:textId="77777777" w:rsidR="000B629E" w:rsidRPr="006058CF" w:rsidRDefault="000B629E">
      <w:pPr>
        <w:spacing w:after="300"/>
        <w:jc w:val="center"/>
        <w:rPr>
          <w:color w:val="000000" w:themeColor="text1"/>
          <w:sz w:val="22"/>
          <w:szCs w:val="22"/>
        </w:rPr>
      </w:pPr>
    </w:p>
    <w:p w14:paraId="5D8120F3" w14:textId="77777777" w:rsidR="000B629E" w:rsidRPr="006058CF" w:rsidRDefault="000B629E">
      <w:pPr>
        <w:spacing w:after="300"/>
        <w:jc w:val="center"/>
        <w:rPr>
          <w:color w:val="000000" w:themeColor="text1"/>
          <w:sz w:val="22"/>
          <w:szCs w:val="22"/>
        </w:rPr>
      </w:pPr>
    </w:p>
    <w:p w14:paraId="6B5BE135" w14:textId="77777777" w:rsidR="000B629E" w:rsidRPr="006058CF" w:rsidRDefault="000B629E">
      <w:pPr>
        <w:spacing w:after="300"/>
        <w:jc w:val="center"/>
        <w:rPr>
          <w:color w:val="000000" w:themeColor="text1"/>
          <w:sz w:val="22"/>
          <w:szCs w:val="22"/>
        </w:rPr>
      </w:pPr>
    </w:p>
    <w:p w14:paraId="08204589" w14:textId="77777777" w:rsidR="000B629E" w:rsidRPr="006058CF" w:rsidRDefault="000B629E">
      <w:pPr>
        <w:spacing w:after="300"/>
        <w:jc w:val="center"/>
        <w:rPr>
          <w:color w:val="000000" w:themeColor="text1"/>
          <w:sz w:val="22"/>
          <w:szCs w:val="22"/>
        </w:rPr>
      </w:pPr>
    </w:p>
    <w:p w14:paraId="16A7623D" w14:textId="77777777" w:rsidR="000B629E" w:rsidRPr="006058CF" w:rsidRDefault="000B629E">
      <w:pPr>
        <w:spacing w:after="300"/>
        <w:jc w:val="center"/>
        <w:rPr>
          <w:color w:val="000000" w:themeColor="text1"/>
          <w:sz w:val="22"/>
          <w:szCs w:val="22"/>
        </w:rPr>
      </w:pPr>
    </w:p>
    <w:p w14:paraId="2D6D8D3D" w14:textId="77777777" w:rsidR="000B629E" w:rsidRPr="006058CF" w:rsidRDefault="000B629E">
      <w:pPr>
        <w:spacing w:after="300"/>
        <w:jc w:val="center"/>
        <w:rPr>
          <w:color w:val="000000" w:themeColor="text1"/>
          <w:sz w:val="22"/>
          <w:szCs w:val="22"/>
        </w:rPr>
      </w:pPr>
    </w:p>
    <w:p w14:paraId="16B04B99" w14:textId="77777777" w:rsidR="000B629E" w:rsidRPr="006058CF" w:rsidRDefault="000B629E" w:rsidP="006058CF">
      <w:pPr>
        <w:spacing w:after="300"/>
        <w:rPr>
          <w:color w:val="000000" w:themeColor="text1"/>
        </w:rPr>
      </w:pPr>
    </w:p>
    <w:p w14:paraId="19EC5297" w14:textId="50D14897" w:rsidR="001A007E" w:rsidRPr="001A007E" w:rsidRDefault="00000000" w:rsidP="001A007E">
      <w:pPr>
        <w:pStyle w:val="Heading1"/>
        <w:numPr>
          <w:ilvl w:val="0"/>
          <w:numId w:val="3"/>
        </w:numPr>
        <w:spacing w:before="300" w:after="150"/>
        <w:rPr>
          <w:b/>
          <w:bCs/>
          <w:color w:val="000000" w:themeColor="text1"/>
          <w:sz w:val="28"/>
          <w:szCs w:val="28"/>
        </w:rPr>
      </w:pPr>
      <w:r w:rsidRPr="006058CF">
        <w:rPr>
          <w:b/>
          <w:bCs/>
          <w:color w:val="000000" w:themeColor="text1"/>
          <w:sz w:val="28"/>
          <w:szCs w:val="28"/>
        </w:rPr>
        <w:lastRenderedPageBreak/>
        <w:t>Introduction</w:t>
      </w:r>
    </w:p>
    <w:p w14:paraId="3F51EF91" w14:textId="77777777" w:rsidR="000E5C08" w:rsidRPr="006058CF" w:rsidRDefault="00000000">
      <w:pPr>
        <w:pStyle w:val="Heading2"/>
        <w:spacing w:before="220" w:after="120"/>
        <w:rPr>
          <w:color w:val="000000" w:themeColor="text1"/>
        </w:rPr>
      </w:pPr>
      <w:r w:rsidRPr="006058CF">
        <w:rPr>
          <w:b/>
          <w:bCs/>
          <w:color w:val="000000" w:themeColor="text1"/>
          <w:sz w:val="24"/>
          <w:szCs w:val="24"/>
        </w:rPr>
        <w:t>1.1 Case Citation &amp; Jurisdiction</w:t>
      </w:r>
    </w:p>
    <w:p w14:paraId="456056CE"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Case Name: Carlill v Carbolic Smoke Ball Company</w:t>
      </w:r>
    </w:p>
    <w:p w14:paraId="1BEF0178"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 xml:space="preserve">Citation: [1893] 1 QB 256; also reported as (1892) EWCA </w:t>
      </w:r>
      <w:proofErr w:type="spellStart"/>
      <w:r w:rsidRPr="006058CF">
        <w:rPr>
          <w:color w:val="000000" w:themeColor="text1"/>
          <w:sz w:val="22"/>
          <w:szCs w:val="22"/>
        </w:rPr>
        <w:t>Civ</w:t>
      </w:r>
      <w:proofErr w:type="spellEnd"/>
      <w:r w:rsidRPr="006058CF">
        <w:rPr>
          <w:color w:val="000000" w:themeColor="text1"/>
          <w:sz w:val="22"/>
          <w:szCs w:val="22"/>
        </w:rPr>
        <w:t xml:space="preserve"> 1</w:t>
      </w:r>
    </w:p>
    <w:p w14:paraId="3B1809E6"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Court: Court of Appeal (England and Wales)</w:t>
      </w:r>
    </w:p>
    <w:p w14:paraId="244083F7"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Bench: Lindley LJ, Bowen LJ, and A.L. Smith LJ</w:t>
      </w:r>
    </w:p>
    <w:p w14:paraId="5A13522D"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Date of Judgment: 7 December 1892 (report published 1893)</w:t>
      </w:r>
    </w:p>
    <w:p w14:paraId="32447213"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Prior Court: Queen's Bench Division, before Hawkins J and a special jury, which had already found in the claimant's favour; the company's appeal against that decision was dismissed.</w:t>
      </w:r>
    </w:p>
    <w:p w14:paraId="06D901B2"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Counsel for the Defendant: H.H. Asquith — who later served as Prime Minister of the United Kingdom — appeared on behalf of the Carbolic Smoke Ball Company.</w:t>
      </w:r>
    </w:p>
    <w:p w14:paraId="4E22C562" w14:textId="77777777" w:rsidR="000E5C08" w:rsidRPr="006058CF" w:rsidRDefault="00000000">
      <w:pPr>
        <w:pStyle w:val="Heading2"/>
        <w:spacing w:before="220" w:after="120"/>
        <w:rPr>
          <w:color w:val="000000" w:themeColor="text1"/>
        </w:rPr>
      </w:pPr>
      <w:r w:rsidRPr="006058CF">
        <w:rPr>
          <w:b/>
          <w:bCs/>
          <w:color w:val="000000" w:themeColor="text1"/>
          <w:sz w:val="24"/>
          <w:szCs w:val="24"/>
        </w:rPr>
        <w:t>1.2 Brief Introduction to the Case</w:t>
      </w:r>
    </w:p>
    <w:p w14:paraId="26FB1187" w14:textId="77777777" w:rsidR="000E5C08" w:rsidRPr="006058CF" w:rsidRDefault="00000000">
      <w:pPr>
        <w:spacing w:after="160" w:line="300" w:lineRule="auto"/>
        <w:jc w:val="both"/>
        <w:rPr>
          <w:color w:val="000000" w:themeColor="text1"/>
        </w:rPr>
      </w:pPr>
      <w:r w:rsidRPr="006058CF">
        <w:rPr>
          <w:color w:val="000000" w:themeColor="text1"/>
          <w:sz w:val="22"/>
          <w:szCs w:val="22"/>
        </w:rPr>
        <w:t>Carlill v Carbolic Smoke Ball Company is among the most widely studied decisions in English contract law and is frequently the first case encountered by students of the subject. The dispute arose from an advertisement published by the Carbolic Smoke Ball Company promising a reward of £100 to any member of the public who used its product — the "carbolic smoke ball" — exactly as directed and nevertheless went on to contract influenza. Mrs. Louisa Elizabeth Carlill purchased and used the product in strict acco</w:t>
      </w:r>
      <w:r w:rsidRPr="006058CF">
        <w:rPr>
          <w:color w:val="000000" w:themeColor="text1"/>
          <w:sz w:val="22"/>
          <w:szCs w:val="22"/>
        </w:rPr>
        <w:t>rdance with the printed instructions, contracted influenza regardless, and sought to enforce the promised reward. When the company refused to pay, she sued for breach of contract.</w:t>
      </w:r>
    </w:p>
    <w:p w14:paraId="7DA8F079" w14:textId="4A3A5E92" w:rsidR="006058CF" w:rsidRDefault="00000000">
      <w:pPr>
        <w:spacing w:after="160" w:line="300" w:lineRule="auto"/>
        <w:jc w:val="both"/>
        <w:rPr>
          <w:color w:val="000000" w:themeColor="text1"/>
          <w:sz w:val="22"/>
          <w:szCs w:val="22"/>
        </w:rPr>
      </w:pPr>
      <w:r w:rsidRPr="006058CF">
        <w:rPr>
          <w:color w:val="000000" w:themeColor="text1"/>
          <w:sz w:val="22"/>
          <w:szCs w:val="22"/>
        </w:rPr>
        <w:t>At its core, the case asks a deceptively simple question: can a promotional advertisement addressed to the world at large, rather than to any identified person, amount to a legally binding offer capable of being accepted merely by conduct? The Court of Appeal's unanimous answer — that it can, provided the advertiser demonstrates a serious intention to be bound by its promise — laid the doctrinal foundation for the modern law of unilateral contracts. The judgment remains significant not only for its treatmen</w:t>
      </w:r>
      <w:r w:rsidRPr="006058CF">
        <w:rPr>
          <w:color w:val="000000" w:themeColor="text1"/>
          <w:sz w:val="22"/>
          <w:szCs w:val="22"/>
        </w:rPr>
        <w:t>t of offer and acceptance, but also for its analysis of consideration, intention to create legal relations, and the legal status of advertising "puffery."</w:t>
      </w:r>
    </w:p>
    <w:p w14:paraId="22E663C7" w14:textId="77777777" w:rsidR="006058CF" w:rsidRPr="006058CF" w:rsidRDefault="006058CF">
      <w:pPr>
        <w:spacing w:after="160" w:line="300" w:lineRule="auto"/>
        <w:jc w:val="both"/>
        <w:rPr>
          <w:color w:val="000000" w:themeColor="text1"/>
          <w:sz w:val="22"/>
          <w:szCs w:val="22"/>
        </w:rPr>
      </w:pPr>
    </w:p>
    <w:p w14:paraId="4F7FF8C3" w14:textId="76A2ED94" w:rsidR="006058CF" w:rsidRPr="006058CF" w:rsidRDefault="00000000" w:rsidP="006058CF">
      <w:pPr>
        <w:pStyle w:val="Heading1"/>
        <w:numPr>
          <w:ilvl w:val="0"/>
          <w:numId w:val="3"/>
        </w:numPr>
        <w:spacing w:before="300" w:after="150"/>
        <w:rPr>
          <w:b/>
          <w:bCs/>
          <w:color w:val="000000" w:themeColor="text1"/>
          <w:sz w:val="28"/>
          <w:szCs w:val="28"/>
        </w:rPr>
      </w:pPr>
      <w:r w:rsidRPr="006058CF">
        <w:rPr>
          <w:b/>
          <w:bCs/>
          <w:color w:val="000000" w:themeColor="text1"/>
          <w:sz w:val="28"/>
          <w:szCs w:val="28"/>
        </w:rPr>
        <w:t>Facts of the Case</w:t>
      </w:r>
    </w:p>
    <w:p w14:paraId="5466BFAD" w14:textId="77777777" w:rsidR="000E5C08" w:rsidRPr="006058CF" w:rsidRDefault="00000000">
      <w:pPr>
        <w:pStyle w:val="Heading2"/>
        <w:spacing w:before="220" w:after="120"/>
        <w:rPr>
          <w:color w:val="000000" w:themeColor="text1"/>
        </w:rPr>
      </w:pPr>
      <w:r w:rsidRPr="006058CF">
        <w:rPr>
          <w:b/>
          <w:bCs/>
          <w:color w:val="000000" w:themeColor="text1"/>
          <w:sz w:val="24"/>
          <w:szCs w:val="24"/>
        </w:rPr>
        <w:t>2.1 Chronological Summary of Events</w:t>
      </w:r>
    </w:p>
    <w:p w14:paraId="04D43F0C"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Carbolic Smoke Ball Company manufactured and sold the "carbolic smoke ball," a rubber ball fitted with a tube and filled with carbolic acid (phenol), marketed as a preventive and cure for influenza and related ailments. The user inserted the tube into the nose and squeezed the ball to release vapours.</w:t>
      </w:r>
    </w:p>
    <w:p w14:paraId="5D835F63" w14:textId="77777777" w:rsidR="000E5C08" w:rsidRPr="001A007E"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product was marketed during the aftermath of the 1889–1890 influenza pandemic, which had killed an estimated one million people worldwide, creating a receptive and anxious consumer market for remedies of this kind.</w:t>
      </w:r>
    </w:p>
    <w:p w14:paraId="69BA372B" w14:textId="77777777" w:rsidR="001A007E" w:rsidRPr="001A007E" w:rsidRDefault="001A007E" w:rsidP="001A007E">
      <w:pPr>
        <w:spacing w:after="100" w:line="300" w:lineRule="auto"/>
        <w:jc w:val="both"/>
        <w:rPr>
          <w:color w:val="000000" w:themeColor="text1"/>
        </w:rPr>
      </w:pPr>
    </w:p>
    <w:p w14:paraId="13EF435E"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lastRenderedPageBreak/>
        <w:t>O</w:t>
      </w:r>
      <w:r w:rsidRPr="006058CF">
        <w:rPr>
          <w:color w:val="000000" w:themeColor="text1"/>
          <w:sz w:val="22"/>
          <w:szCs w:val="22"/>
        </w:rPr>
        <w:t>n 13 November 1891, the company published an advertisement in the Pall Mall Gazette and other newspapers, promising to pay £100 to any person who contracted influenza, colds, or any disease caused by cold, after using the smoke ball three times daily for two weeks in accordance with the printed directions.</w:t>
      </w:r>
    </w:p>
    <w:p w14:paraId="5CF81DED"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advertisement stated that £1,000 had been deposited with the Alliance Bank on Regent Street "shewing our sincerity in the matter," and further claimed that during the previous epidemic, thousands of smoke balls had been sold with no ascertained case of the disease being contracted by users.</w:t>
      </w:r>
    </w:p>
    <w:p w14:paraId="35A0F074"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Relying on the advertisement, Mrs. Louisa Elizabeth Carlill purchased a smoke ball and used it as directed — three times daily — from around 20 November 1891 until 17 January 1892, when she contracted influenza.</w:t>
      </w:r>
    </w:p>
    <w:p w14:paraId="7A35666F"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Her husband, a solicitor, wrote to the company on her behalf to claim the £100 reward. The company ignored the first two letters.</w:t>
      </w:r>
    </w:p>
    <w:p w14:paraId="6DA7976C"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On the third request, the company replied with an anonymous letter stating that, to protect itself against fraudulent claims, Mrs. Carlill would need to attend its office daily to use the ball under the supervision of its secretary — a condition never mentioned in the original advertisement.</w:t>
      </w:r>
    </w:p>
    <w:p w14:paraId="5169080A"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Mrs. Carlill sued the company for breach of contract. Her counsel argued that the advertisement, combined with her reliance on it and performance of its conditions, created a binding contract obliging the company to pay the promised sum.</w:t>
      </w:r>
    </w:p>
    <w:p w14:paraId="45664093"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company denied that it had made any offer capable of legal acceptance, and argued in the alternative that the advertisement was a mere sales puff, that it was too vague to constitute a binding promise, and that no valid contract could arise without formal communication of acceptance.</w:t>
      </w:r>
    </w:p>
    <w:p w14:paraId="7EC8122D"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case was first heard in the Queen's Bench Division before Hawkins J and a special jury, who found in favour of Mrs. Carlill. The company, represented by H.H. Asquith, appealed to the Court of Appeal.</w:t>
      </w:r>
    </w:p>
    <w:p w14:paraId="5C6E5330"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On 7 December 1892, the Court of Appeal unanimously dismissed the appeal, holding that a valid, binding unilateral contract existed between the parties and that Mrs. Carlill was entitled to the £100 reward.</w:t>
      </w:r>
    </w:p>
    <w:p w14:paraId="0F7A489C" w14:textId="77777777" w:rsidR="000E5C08" w:rsidRPr="006058CF" w:rsidRDefault="00000000">
      <w:pPr>
        <w:pStyle w:val="Heading2"/>
        <w:spacing w:before="220" w:after="120"/>
        <w:rPr>
          <w:color w:val="000000" w:themeColor="text1"/>
        </w:rPr>
      </w:pPr>
      <w:r w:rsidRPr="006058CF">
        <w:rPr>
          <w:b/>
          <w:bCs/>
          <w:color w:val="000000" w:themeColor="text1"/>
          <w:sz w:val="24"/>
          <w:szCs w:val="24"/>
        </w:rPr>
        <w:t>2.2 Material Commercial Context</w:t>
      </w:r>
    </w:p>
    <w:p w14:paraId="614038ED"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underlying commercial relationship was a consumer transaction in the patent-medicine trade — an industry that, in late-Victorian England, was largely unregulated and prone to exaggerated and unverifiable claims about efficacy.</w:t>
      </w:r>
    </w:p>
    <w:p w14:paraId="77D4B509"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Carbolic Smoke Ball Company used mass-market newspaper advertising, then a rapidly growing medium, to reach an anonymous and undefined body of potential customers rather than negotiating individually with identified buyers.</w:t>
      </w:r>
    </w:p>
    <w:p w14:paraId="36320B6A"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transaction combined an ordinary sale of goods (the purchase of the smoke ball itself) with a promotional reward scheme designed to build consumer confidence in the product's effectiveness.</w:t>
      </w:r>
    </w:p>
    <w:p w14:paraId="38EC9FC6"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This is precisely the commercial structure that gives rise to a unilateral contract: the promisor addressed an open-ended promise to an undefined class of the public, to be triggered only by the customer's own performance of specified conditions, rather than by any prior negotiation or bilateral exchange of promises.</w:t>
      </w:r>
    </w:p>
    <w:p w14:paraId="722D6298" w14:textId="1ED26836" w:rsidR="006058CF" w:rsidRPr="006058CF" w:rsidRDefault="00000000" w:rsidP="006058CF">
      <w:pPr>
        <w:pStyle w:val="ListParagraph"/>
        <w:numPr>
          <w:ilvl w:val="0"/>
          <w:numId w:val="2"/>
        </w:numPr>
        <w:spacing w:after="100" w:line="300" w:lineRule="auto"/>
        <w:jc w:val="both"/>
        <w:rPr>
          <w:color w:val="000000" w:themeColor="text1"/>
        </w:rPr>
      </w:pPr>
      <w:r w:rsidRPr="006058CF">
        <w:rPr>
          <w:color w:val="000000" w:themeColor="text1"/>
          <w:sz w:val="22"/>
          <w:szCs w:val="22"/>
        </w:rPr>
        <w:lastRenderedPageBreak/>
        <w:t>The £1,000 bank deposit was itself a calculated piece of advertising strategy intended to lend commercial credibility to the offer — a detail that later proved decisive to the court's reasoning on intention to create legal relations.</w:t>
      </w:r>
    </w:p>
    <w:p w14:paraId="4D3322FD" w14:textId="77777777" w:rsidR="000E5C08" w:rsidRPr="006058CF" w:rsidRDefault="00000000">
      <w:pPr>
        <w:pStyle w:val="Heading1"/>
        <w:spacing w:before="300" w:after="150"/>
        <w:rPr>
          <w:color w:val="000000" w:themeColor="text1"/>
        </w:rPr>
      </w:pPr>
      <w:r w:rsidRPr="006058CF">
        <w:rPr>
          <w:b/>
          <w:bCs/>
          <w:color w:val="000000" w:themeColor="text1"/>
          <w:sz w:val="28"/>
          <w:szCs w:val="28"/>
        </w:rPr>
        <w:t>3. Legal Issue</w:t>
      </w:r>
    </w:p>
    <w:p w14:paraId="3DD221B9" w14:textId="77777777" w:rsidR="000E5C08" w:rsidRPr="006058CF" w:rsidRDefault="00000000">
      <w:pPr>
        <w:pStyle w:val="Heading2"/>
        <w:spacing w:before="220" w:after="120"/>
        <w:rPr>
          <w:color w:val="000000" w:themeColor="text1"/>
        </w:rPr>
      </w:pPr>
      <w:r w:rsidRPr="006058CF">
        <w:rPr>
          <w:b/>
          <w:bCs/>
          <w:color w:val="000000" w:themeColor="text1"/>
          <w:sz w:val="24"/>
          <w:szCs w:val="24"/>
        </w:rPr>
        <w:t>3.1 Primary Question of Law</w:t>
      </w:r>
    </w:p>
    <w:p w14:paraId="41647991" w14:textId="77777777" w:rsidR="000E5C08" w:rsidRPr="006058CF" w:rsidRDefault="00000000">
      <w:pPr>
        <w:spacing w:after="160" w:line="300" w:lineRule="auto"/>
        <w:jc w:val="both"/>
        <w:rPr>
          <w:color w:val="000000" w:themeColor="text1"/>
        </w:rPr>
      </w:pPr>
      <w:r w:rsidRPr="006058CF">
        <w:rPr>
          <w:color w:val="000000" w:themeColor="text1"/>
          <w:sz w:val="22"/>
          <w:szCs w:val="22"/>
        </w:rPr>
        <w:t>Whether an advertisement offering a reward to any member of the public who performs specified conditions can constitute a valid, legally binding offer — capable of being accepted through performance of those conditions without prior communication of acceptance — so as to give rise to an enforceable unilateral contract.</w:t>
      </w:r>
    </w:p>
    <w:p w14:paraId="469894D4" w14:textId="77777777" w:rsidR="000E5C08" w:rsidRPr="006058CF" w:rsidRDefault="00000000">
      <w:pPr>
        <w:spacing w:after="160" w:line="300" w:lineRule="auto"/>
        <w:jc w:val="both"/>
        <w:rPr>
          <w:color w:val="000000" w:themeColor="text1"/>
        </w:rPr>
      </w:pPr>
      <w:r w:rsidRPr="006058CF">
        <w:rPr>
          <w:color w:val="000000" w:themeColor="text1"/>
          <w:sz w:val="22"/>
          <w:szCs w:val="22"/>
        </w:rPr>
        <w:t>This primary question resolved itself, before the Court of Appeal, into four distinct sub-issues:</w:t>
      </w:r>
    </w:p>
    <w:p w14:paraId="66926B18"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Whether the advertisement was capable of having binding legal effect on the parties, or whether it was a mere "puff" — an exaggerated sales statement not intended to be taken literally.</w:t>
      </w:r>
    </w:p>
    <w:p w14:paraId="1A236F02"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Whether a formal notification of acceptance was required from Mrs. Carlill before a contract could be said to exist.</w:t>
      </w:r>
    </w:p>
    <w:p w14:paraId="5C6659CB"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Whether performance of the advertised conditions (purchasing and using the smoke ball as directed) was, by itself, sufficient to constitute acceptance of the offer.</w:t>
      </w:r>
    </w:p>
    <w:p w14:paraId="5D8FB82E"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Whether there was valid consideration moving from Mrs. Carlill in exchange for the company's promise of £100.</w:t>
      </w:r>
    </w:p>
    <w:p w14:paraId="6D99AB14" w14:textId="77777777" w:rsidR="000E5C08" w:rsidRPr="006058CF" w:rsidRDefault="00000000">
      <w:pPr>
        <w:pStyle w:val="Heading2"/>
        <w:spacing w:before="220" w:after="120"/>
        <w:rPr>
          <w:color w:val="000000" w:themeColor="text1"/>
        </w:rPr>
      </w:pPr>
      <w:r w:rsidRPr="006058CF">
        <w:rPr>
          <w:b/>
          <w:bCs/>
          <w:color w:val="000000" w:themeColor="text1"/>
          <w:sz w:val="24"/>
          <w:szCs w:val="24"/>
        </w:rPr>
        <w:t>3.2 Points of Contention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E5C08" w:rsidRPr="006058CF" w14:paraId="31B02BEA" w14:textId="77777777">
        <w:tc>
          <w:tcPr>
            <w:tcW w:w="4675" w:type="dxa"/>
            <w:tcMar>
              <w:top w:w="100" w:type="dxa"/>
              <w:left w:w="120" w:type="dxa"/>
              <w:bottom w:w="100" w:type="dxa"/>
              <w:right w:w="120" w:type="dxa"/>
            </w:tcMar>
          </w:tcPr>
          <w:p w14:paraId="3B450D76" w14:textId="77777777" w:rsidR="000E5C08" w:rsidRPr="006058CF" w:rsidRDefault="00000000">
            <w:pPr>
              <w:jc w:val="both"/>
              <w:rPr>
                <w:color w:val="000000" w:themeColor="text1"/>
              </w:rPr>
            </w:pPr>
            <w:r w:rsidRPr="006058CF">
              <w:rPr>
                <w:b/>
                <w:bCs/>
                <w:color w:val="000000" w:themeColor="text1"/>
              </w:rPr>
              <w:t>Claimant's Position (Mrs. Carlill)</w:t>
            </w:r>
          </w:p>
        </w:tc>
        <w:tc>
          <w:tcPr>
            <w:tcW w:w="4675" w:type="dxa"/>
            <w:tcMar>
              <w:top w:w="100" w:type="dxa"/>
              <w:left w:w="120" w:type="dxa"/>
              <w:bottom w:w="100" w:type="dxa"/>
              <w:right w:w="120" w:type="dxa"/>
            </w:tcMar>
          </w:tcPr>
          <w:p w14:paraId="6322309F" w14:textId="77777777" w:rsidR="000E5C08" w:rsidRPr="006058CF" w:rsidRDefault="00000000">
            <w:pPr>
              <w:jc w:val="both"/>
              <w:rPr>
                <w:color w:val="000000" w:themeColor="text1"/>
              </w:rPr>
            </w:pPr>
            <w:r w:rsidRPr="006058CF">
              <w:rPr>
                <w:b/>
                <w:bCs/>
                <w:color w:val="000000" w:themeColor="text1"/>
              </w:rPr>
              <w:t>Defendant's Position (Carbolic Smoke Ball Co.)</w:t>
            </w:r>
          </w:p>
        </w:tc>
      </w:tr>
      <w:tr w:rsidR="000E5C08" w:rsidRPr="006058CF" w14:paraId="799BF655" w14:textId="77777777">
        <w:tc>
          <w:tcPr>
            <w:tcW w:w="4675" w:type="dxa"/>
            <w:tcMar>
              <w:top w:w="100" w:type="dxa"/>
              <w:left w:w="120" w:type="dxa"/>
              <w:bottom w:w="100" w:type="dxa"/>
              <w:right w:w="120" w:type="dxa"/>
            </w:tcMar>
          </w:tcPr>
          <w:p w14:paraId="4E9175EA" w14:textId="77777777" w:rsidR="000E5C08" w:rsidRPr="006058CF" w:rsidRDefault="00000000">
            <w:pPr>
              <w:jc w:val="both"/>
              <w:rPr>
                <w:color w:val="000000" w:themeColor="text1"/>
              </w:rPr>
            </w:pPr>
            <w:r w:rsidRPr="006058CF">
              <w:rPr>
                <w:color w:val="000000" w:themeColor="text1"/>
              </w:rPr>
              <w:t>The advertisement was a clear, unambiguous promise, not vague sales talk; its plain wording showed the company intended to pay £100 if the product failed to work as claimed.</w:t>
            </w:r>
          </w:p>
        </w:tc>
        <w:tc>
          <w:tcPr>
            <w:tcW w:w="4675" w:type="dxa"/>
            <w:tcMar>
              <w:top w:w="100" w:type="dxa"/>
              <w:left w:w="120" w:type="dxa"/>
              <w:bottom w:w="100" w:type="dxa"/>
              <w:right w:w="120" w:type="dxa"/>
            </w:tcMar>
          </w:tcPr>
          <w:p w14:paraId="3D657DE8" w14:textId="77777777" w:rsidR="000E5C08" w:rsidRPr="006058CF" w:rsidRDefault="00000000">
            <w:pPr>
              <w:jc w:val="both"/>
              <w:rPr>
                <w:color w:val="000000" w:themeColor="text1"/>
              </w:rPr>
            </w:pPr>
            <w:r w:rsidRPr="006058CF">
              <w:rPr>
                <w:color w:val="000000" w:themeColor="text1"/>
              </w:rPr>
              <w:t>The advertisement's language was too vague and uncertain to amount to a definite, enforceable promise — no time limit was specified for contracting the illness.</w:t>
            </w:r>
          </w:p>
        </w:tc>
      </w:tr>
      <w:tr w:rsidR="000E5C08" w:rsidRPr="006058CF" w14:paraId="0B96299B" w14:textId="77777777">
        <w:tc>
          <w:tcPr>
            <w:tcW w:w="4675" w:type="dxa"/>
            <w:tcMar>
              <w:top w:w="100" w:type="dxa"/>
              <w:left w:w="120" w:type="dxa"/>
              <w:bottom w:w="100" w:type="dxa"/>
              <w:right w:w="120" w:type="dxa"/>
            </w:tcMar>
          </w:tcPr>
          <w:p w14:paraId="6F461EE6" w14:textId="77777777" w:rsidR="000E5C08" w:rsidRPr="006058CF" w:rsidRDefault="00000000">
            <w:pPr>
              <w:jc w:val="both"/>
              <w:rPr>
                <w:color w:val="000000" w:themeColor="text1"/>
              </w:rPr>
            </w:pPr>
            <w:r w:rsidRPr="006058CF">
              <w:rPr>
                <w:color w:val="000000" w:themeColor="text1"/>
              </w:rPr>
              <w:t>The deposit of £1,000 at the Alliance Bank was objective evidence of the company's serious intention to be legally bound, rebutting any suggestion of a mere puff.</w:t>
            </w:r>
          </w:p>
        </w:tc>
        <w:tc>
          <w:tcPr>
            <w:tcW w:w="4675" w:type="dxa"/>
            <w:tcMar>
              <w:top w:w="100" w:type="dxa"/>
              <w:left w:w="120" w:type="dxa"/>
              <w:bottom w:w="100" w:type="dxa"/>
              <w:right w:w="120" w:type="dxa"/>
            </w:tcMar>
          </w:tcPr>
          <w:p w14:paraId="701C5FDA" w14:textId="77777777" w:rsidR="000E5C08" w:rsidRPr="006058CF" w:rsidRDefault="00000000">
            <w:pPr>
              <w:jc w:val="both"/>
              <w:rPr>
                <w:color w:val="000000" w:themeColor="text1"/>
              </w:rPr>
            </w:pPr>
            <w:r w:rsidRPr="006058CF">
              <w:rPr>
                <w:color w:val="000000" w:themeColor="text1"/>
              </w:rPr>
              <w:t>The advertisement was no more than an expression of the company's own confidence in its product — a sales puff, not a legal promise.</w:t>
            </w:r>
          </w:p>
        </w:tc>
      </w:tr>
      <w:tr w:rsidR="000E5C08" w:rsidRPr="006058CF" w14:paraId="05A03083" w14:textId="77777777">
        <w:tc>
          <w:tcPr>
            <w:tcW w:w="4675" w:type="dxa"/>
            <w:tcMar>
              <w:top w:w="100" w:type="dxa"/>
              <w:left w:w="120" w:type="dxa"/>
              <w:bottom w:w="100" w:type="dxa"/>
              <w:right w:w="120" w:type="dxa"/>
            </w:tcMar>
          </w:tcPr>
          <w:p w14:paraId="1AC6D915" w14:textId="77777777" w:rsidR="000E5C08" w:rsidRPr="006058CF" w:rsidRDefault="00000000">
            <w:pPr>
              <w:jc w:val="both"/>
              <w:rPr>
                <w:color w:val="000000" w:themeColor="text1"/>
              </w:rPr>
            </w:pPr>
            <w:r w:rsidRPr="006058CF">
              <w:rPr>
                <w:color w:val="000000" w:themeColor="text1"/>
              </w:rPr>
              <w:t>There was good consideration: Mrs. Carlill purchased and used the product (a detriment to her), while the company benefited from increased sales generated by public reliance on the advertisement.</w:t>
            </w:r>
          </w:p>
        </w:tc>
        <w:tc>
          <w:tcPr>
            <w:tcW w:w="4675" w:type="dxa"/>
            <w:tcMar>
              <w:top w:w="100" w:type="dxa"/>
              <w:left w:w="120" w:type="dxa"/>
              <w:bottom w:w="100" w:type="dxa"/>
              <w:right w:w="120" w:type="dxa"/>
            </w:tcMar>
          </w:tcPr>
          <w:p w14:paraId="5982AFD4" w14:textId="77777777" w:rsidR="000E5C08" w:rsidRPr="006058CF" w:rsidRDefault="00000000">
            <w:pPr>
              <w:jc w:val="both"/>
              <w:rPr>
                <w:color w:val="000000" w:themeColor="text1"/>
              </w:rPr>
            </w:pPr>
            <w:r w:rsidRPr="006058CF">
              <w:rPr>
                <w:color w:val="000000" w:themeColor="text1"/>
              </w:rPr>
              <w:t>There was no valid consideration (nudum pactum), since using the smoke ball was merely a condition attached to a gratuitous promise, not something requested by the company in exchange for its promise.</w:t>
            </w:r>
          </w:p>
        </w:tc>
      </w:tr>
      <w:tr w:rsidR="000E5C08" w:rsidRPr="006058CF" w14:paraId="3964A94E" w14:textId="77777777">
        <w:tc>
          <w:tcPr>
            <w:tcW w:w="4675" w:type="dxa"/>
            <w:tcMar>
              <w:top w:w="100" w:type="dxa"/>
              <w:left w:w="120" w:type="dxa"/>
              <w:bottom w:w="100" w:type="dxa"/>
              <w:right w:w="120" w:type="dxa"/>
            </w:tcMar>
          </w:tcPr>
          <w:p w14:paraId="6D71B28E" w14:textId="77777777" w:rsidR="000E5C08" w:rsidRPr="006058CF" w:rsidRDefault="00000000">
            <w:pPr>
              <w:jc w:val="both"/>
              <w:rPr>
                <w:color w:val="000000" w:themeColor="text1"/>
              </w:rPr>
            </w:pPr>
            <w:r w:rsidRPr="006058CF">
              <w:rPr>
                <w:color w:val="000000" w:themeColor="text1"/>
              </w:rPr>
              <w:t>The advertisement was an offer to the entire world, ripening into a contract with anyone who came forward and performed its conditions; no separate communication of acceptance was necessary because performance itself constituted acceptance.</w:t>
            </w:r>
          </w:p>
        </w:tc>
        <w:tc>
          <w:tcPr>
            <w:tcW w:w="4675" w:type="dxa"/>
            <w:tcMar>
              <w:top w:w="100" w:type="dxa"/>
              <w:left w:w="120" w:type="dxa"/>
              <w:bottom w:w="100" w:type="dxa"/>
              <w:right w:w="120" w:type="dxa"/>
            </w:tcMar>
          </w:tcPr>
          <w:p w14:paraId="3DDBEECB" w14:textId="77777777" w:rsidR="000E5C08" w:rsidRPr="006058CF" w:rsidRDefault="00000000">
            <w:pPr>
              <w:jc w:val="both"/>
              <w:rPr>
                <w:color w:val="000000" w:themeColor="text1"/>
              </w:rPr>
            </w:pPr>
            <w:r w:rsidRPr="006058CF">
              <w:rPr>
                <w:color w:val="000000" w:themeColor="text1"/>
              </w:rPr>
              <w:t>No valid contract could arise because the claimant never communicated her acceptance of the offer to the company, either expressly, impliedly, or by any overt act directed at the company.</w:t>
            </w:r>
          </w:p>
        </w:tc>
      </w:tr>
      <w:tr w:rsidR="000E5C08" w:rsidRPr="006058CF" w14:paraId="2797A40E" w14:textId="77777777">
        <w:tc>
          <w:tcPr>
            <w:tcW w:w="4675" w:type="dxa"/>
            <w:tcMar>
              <w:top w:w="100" w:type="dxa"/>
              <w:left w:w="120" w:type="dxa"/>
              <w:bottom w:w="100" w:type="dxa"/>
              <w:right w:w="120" w:type="dxa"/>
            </w:tcMar>
          </w:tcPr>
          <w:p w14:paraId="65BFDAB8" w14:textId="77777777" w:rsidR="000E5C08" w:rsidRPr="006058CF" w:rsidRDefault="00000000">
            <w:pPr>
              <w:jc w:val="both"/>
              <w:rPr>
                <w:color w:val="000000" w:themeColor="text1"/>
              </w:rPr>
            </w:pPr>
            <w:r w:rsidRPr="006058CF">
              <w:rPr>
                <w:color w:val="000000" w:themeColor="text1"/>
              </w:rPr>
              <w:t xml:space="preserve">The company had no means of monitoring how each individual customer used the product, yet chose to make the promise anyway; that commercial choice does not </w:t>
            </w:r>
            <w:r w:rsidRPr="006058CF">
              <w:rPr>
                <w:color w:val="000000" w:themeColor="text1"/>
              </w:rPr>
              <w:lastRenderedPageBreak/>
              <w:t>relieve it of the legal consequences of its own advertisement.</w:t>
            </w:r>
          </w:p>
        </w:tc>
        <w:tc>
          <w:tcPr>
            <w:tcW w:w="4675" w:type="dxa"/>
            <w:tcMar>
              <w:top w:w="100" w:type="dxa"/>
              <w:left w:w="120" w:type="dxa"/>
              <w:bottom w:w="100" w:type="dxa"/>
              <w:right w:w="120" w:type="dxa"/>
            </w:tcMar>
          </w:tcPr>
          <w:p w14:paraId="0C36A654" w14:textId="77777777" w:rsidR="000E5C08" w:rsidRPr="006058CF" w:rsidRDefault="00000000">
            <w:pPr>
              <w:jc w:val="both"/>
              <w:rPr>
                <w:color w:val="000000" w:themeColor="text1"/>
              </w:rPr>
            </w:pPr>
            <w:r w:rsidRPr="006058CF">
              <w:rPr>
                <w:color w:val="000000" w:themeColor="text1"/>
              </w:rPr>
              <w:lastRenderedPageBreak/>
              <w:t>The lack of any mechanism to verify proper use by each customer, and the absence of a specified time limit, showed the company never intended the advertisement to be read as a serious, binding contractual offer.</w:t>
            </w:r>
          </w:p>
        </w:tc>
      </w:tr>
    </w:tbl>
    <w:p w14:paraId="28859300" w14:textId="77777777" w:rsidR="006058CF" w:rsidRDefault="006058CF">
      <w:pPr>
        <w:pStyle w:val="Heading1"/>
        <w:spacing w:before="300" w:after="150"/>
        <w:rPr>
          <w:b/>
          <w:bCs/>
          <w:color w:val="000000" w:themeColor="text1"/>
          <w:sz w:val="28"/>
          <w:szCs w:val="28"/>
        </w:rPr>
      </w:pPr>
    </w:p>
    <w:p w14:paraId="7F7D881F" w14:textId="7B8E98B7" w:rsidR="000E5C08" w:rsidRPr="006058CF" w:rsidRDefault="00000000">
      <w:pPr>
        <w:pStyle w:val="Heading1"/>
        <w:spacing w:before="300" w:after="150"/>
        <w:rPr>
          <w:color w:val="000000" w:themeColor="text1"/>
        </w:rPr>
      </w:pPr>
      <w:r w:rsidRPr="006058CF">
        <w:rPr>
          <w:b/>
          <w:bCs/>
          <w:color w:val="000000" w:themeColor="text1"/>
          <w:sz w:val="28"/>
          <w:szCs w:val="28"/>
        </w:rPr>
        <w:t>4. Judgment</w:t>
      </w:r>
    </w:p>
    <w:p w14:paraId="0DDC01B4" w14:textId="77777777" w:rsidR="000E5C08" w:rsidRPr="006058CF" w:rsidRDefault="00000000">
      <w:pPr>
        <w:pStyle w:val="Heading2"/>
        <w:spacing w:before="220" w:after="120"/>
        <w:rPr>
          <w:color w:val="000000" w:themeColor="text1"/>
        </w:rPr>
      </w:pPr>
      <w:r w:rsidRPr="006058CF">
        <w:rPr>
          <w:b/>
          <w:bCs/>
          <w:color w:val="000000" w:themeColor="text1"/>
          <w:sz w:val="24"/>
          <w:szCs w:val="24"/>
        </w:rPr>
        <w:t>4.1 Court's Decision</w:t>
      </w:r>
    </w:p>
    <w:p w14:paraId="4C3A145B" w14:textId="77777777" w:rsidR="000E5C08" w:rsidRPr="006058CF" w:rsidRDefault="00000000">
      <w:pPr>
        <w:spacing w:after="160" w:line="300" w:lineRule="auto"/>
        <w:jc w:val="both"/>
        <w:rPr>
          <w:color w:val="000000" w:themeColor="text1"/>
        </w:rPr>
      </w:pPr>
      <w:r w:rsidRPr="006058CF">
        <w:rPr>
          <w:color w:val="000000" w:themeColor="text1"/>
          <w:sz w:val="22"/>
          <w:szCs w:val="22"/>
        </w:rPr>
        <w:t>The Court of Appeal unanimously dismissed the Carbolic Smoke Ball Company's appeal, affirming the Queen's Bench decision in favour of Mrs. Carlill. Judgment was entered for the claimant, and she was awarded the £100 reward promised in the advertisement. Each of the three Lord Justices — Lindley, Bowen, and A.L. Smith — delivered a separate but concurring judgment, rejecting every argument advanced by the company.</w:t>
      </w:r>
    </w:p>
    <w:p w14:paraId="6B2BC936" w14:textId="77777777" w:rsidR="000E5C08" w:rsidRPr="006058CF" w:rsidRDefault="00000000">
      <w:pPr>
        <w:pStyle w:val="Heading2"/>
        <w:spacing w:before="220" w:after="120"/>
        <w:rPr>
          <w:color w:val="000000" w:themeColor="text1"/>
        </w:rPr>
      </w:pPr>
      <w:r w:rsidRPr="006058CF">
        <w:rPr>
          <w:b/>
          <w:bCs/>
          <w:color w:val="000000" w:themeColor="text1"/>
          <w:sz w:val="24"/>
          <w:szCs w:val="24"/>
        </w:rPr>
        <w:t>4.2 Ratio Decidendi (Judicial Reasoning)</w:t>
      </w:r>
    </w:p>
    <w:p w14:paraId="09D31AE0" w14:textId="77777777" w:rsidR="000E5C08" w:rsidRPr="006058CF" w:rsidRDefault="00000000">
      <w:pPr>
        <w:spacing w:after="160" w:line="300" w:lineRule="auto"/>
        <w:jc w:val="both"/>
        <w:rPr>
          <w:color w:val="000000" w:themeColor="text1"/>
        </w:rPr>
      </w:pPr>
      <w:r w:rsidRPr="006058CF">
        <w:rPr>
          <w:color w:val="000000" w:themeColor="text1"/>
          <w:sz w:val="22"/>
          <w:szCs w:val="22"/>
        </w:rPr>
        <w:t>Although each judge expressed his reasoning in his own terms, four common threads run through all three judgments and together form the ratio decidendi of the case:</w:t>
      </w:r>
    </w:p>
    <w:p w14:paraId="02BAB967" w14:textId="77777777" w:rsidR="000E5C08" w:rsidRPr="006058CF" w:rsidRDefault="00000000">
      <w:pPr>
        <w:spacing w:before="100" w:after="100"/>
        <w:rPr>
          <w:color w:val="000000" w:themeColor="text1"/>
        </w:rPr>
      </w:pPr>
      <w:r w:rsidRPr="006058CF">
        <w:rPr>
          <w:b/>
          <w:bCs/>
          <w:color w:val="000000" w:themeColor="text1"/>
          <w:sz w:val="22"/>
          <w:szCs w:val="22"/>
        </w:rPr>
        <w:t>(</w:t>
      </w:r>
      <w:proofErr w:type="spellStart"/>
      <w:r w:rsidRPr="006058CF">
        <w:rPr>
          <w:b/>
          <w:bCs/>
          <w:color w:val="000000" w:themeColor="text1"/>
          <w:sz w:val="22"/>
          <w:szCs w:val="22"/>
        </w:rPr>
        <w:t>i</w:t>
      </w:r>
      <w:proofErr w:type="spellEnd"/>
      <w:r w:rsidRPr="006058CF">
        <w:rPr>
          <w:b/>
          <w:bCs/>
          <w:color w:val="000000" w:themeColor="text1"/>
          <w:sz w:val="22"/>
          <w:szCs w:val="22"/>
        </w:rPr>
        <w:t>) The advertisement was a genuine offer, not a mere invitation to treat or an empty puff.</w:t>
      </w:r>
    </w:p>
    <w:p w14:paraId="50675678"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advertisement was not a vague, unilateral declaration addressed to "nobody in particular," but a distinct, express promise capable of ripening into a contract with any specific individual who performed its conditions.</w:t>
      </w:r>
    </w:p>
    <w:p w14:paraId="276D2053"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company's own deposit of £1,000 at the Alliance Bank was treated as objective proof that the offer was seriously meant.</w:t>
      </w:r>
    </w:p>
    <w:p w14:paraId="207DDBC2"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Lindley LJ observed that this deposit existed for no purpose other than to negate any suggestion that the promise was mere puffery — the company itself had supplied the evidence of its own sincerity.</w:t>
      </w:r>
    </w:p>
    <w:p w14:paraId="17645F85" w14:textId="77777777" w:rsidR="000E5C08" w:rsidRPr="006058CF" w:rsidRDefault="00000000">
      <w:pPr>
        <w:spacing w:before="100" w:after="100"/>
        <w:rPr>
          <w:color w:val="000000" w:themeColor="text1"/>
        </w:rPr>
      </w:pPr>
      <w:r w:rsidRPr="006058CF">
        <w:rPr>
          <w:b/>
          <w:bCs/>
          <w:color w:val="000000" w:themeColor="text1"/>
          <w:sz w:val="22"/>
          <w:szCs w:val="22"/>
        </w:rPr>
        <w:t>(ii) An offer can validly be made to the whole world, though the resulting contract binds only those who perform its conditions.</w:t>
      </w:r>
    </w:p>
    <w:p w14:paraId="00B13415"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Bowen LJ drew the critical distinction between an offer made to the world and a contract made with the world.</w:t>
      </w:r>
    </w:p>
    <w:p w14:paraId="2927B70A"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advertisement was not a contract with everyone, but an offer capable of ripening into a contract with that limited section of the public who came forward and performed the stipulated conditions.</w:t>
      </w:r>
    </w:p>
    <w:p w14:paraId="73A5B0F4"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This resolved the older uncertainty reflected in cases such as Weeks v Tybald, confirming that indefiniteness of the offeree does not defeat the existence of an offer.</w:t>
      </w:r>
    </w:p>
    <w:p w14:paraId="3682806F" w14:textId="77777777" w:rsidR="000E5C08" w:rsidRPr="006058CF" w:rsidRDefault="00000000">
      <w:pPr>
        <w:spacing w:before="100" w:after="100"/>
        <w:rPr>
          <w:color w:val="000000" w:themeColor="text1"/>
        </w:rPr>
      </w:pPr>
      <w:r w:rsidRPr="006058CF">
        <w:rPr>
          <w:b/>
          <w:bCs/>
          <w:color w:val="000000" w:themeColor="text1"/>
          <w:sz w:val="22"/>
          <w:szCs w:val="22"/>
        </w:rPr>
        <w:t>(iii) Performance of the stipulated conditions constituted acceptance, and no separate notification of acceptance was required.</w:t>
      </w:r>
    </w:p>
    <w:p w14:paraId="4785E0E4"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All three judges held that the ordinary rule requiring communication of acceptance was displaced in cases of this kind.</w:t>
      </w:r>
    </w:p>
    <w:p w14:paraId="76115800"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Where the nature of an offer shows that the offeror does not expect or require notice of acceptance apart from notice of performance, the offeree's conduct in performing the specified conditions is itself sufficient to bind the offeror.</w:t>
      </w:r>
    </w:p>
    <w:p w14:paraId="1269FBA7"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lastRenderedPageBreak/>
        <w:t>Bowen LJ illustrated this with the analogy of advertising for a lost dog: nobody would expect the finder to first write a letter of acceptance before searching for the animal.</w:t>
      </w:r>
    </w:p>
    <w:p w14:paraId="06E7EEB1" w14:textId="77777777" w:rsidR="000E5C08" w:rsidRPr="006058CF" w:rsidRDefault="00000000">
      <w:pPr>
        <w:spacing w:before="100" w:after="100"/>
        <w:rPr>
          <w:color w:val="000000" w:themeColor="text1"/>
        </w:rPr>
      </w:pPr>
      <w:r w:rsidRPr="006058CF">
        <w:rPr>
          <w:b/>
          <w:bCs/>
          <w:color w:val="000000" w:themeColor="text1"/>
          <w:sz w:val="22"/>
          <w:szCs w:val="22"/>
        </w:rPr>
        <w:t>(iv) There was good and sufficient consideration moving from Mrs. Carlill.</w:t>
      </w:r>
    </w:p>
    <w:p w14:paraId="0ABCB88C"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court rejected the company's nudum pactum argument.</w:t>
      </w:r>
    </w:p>
    <w:p w14:paraId="050087D6"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First ground: the "distinct inconvenience" or detriment Mrs. Carlill incurred by using the smoke ball three times daily for two weeks at the company's request.</w:t>
      </w:r>
    </w:p>
    <w:p w14:paraId="0067E055"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 xml:space="preserve">Second ground: the direct commercial </w:t>
      </w:r>
      <w:proofErr w:type="gramStart"/>
      <w:r w:rsidRPr="006058CF">
        <w:rPr>
          <w:color w:val="000000" w:themeColor="text1"/>
          <w:sz w:val="22"/>
          <w:szCs w:val="22"/>
        </w:rPr>
        <w:t>benefit</w:t>
      </w:r>
      <w:proofErr w:type="gramEnd"/>
      <w:r w:rsidRPr="006058CF">
        <w:rPr>
          <w:color w:val="000000" w:themeColor="text1"/>
          <w:sz w:val="22"/>
          <w:szCs w:val="22"/>
        </w:rPr>
        <w:t xml:space="preserve"> the company derived from increased sales generated by public confidence in, and reliance upon, the advertisement.</w:t>
      </w:r>
    </w:p>
    <w:p w14:paraId="2C15CA36" w14:textId="77777777" w:rsidR="000E5C08" w:rsidRPr="006058CF" w:rsidRDefault="00000000">
      <w:pPr>
        <w:pBdr>
          <w:left w:val="single" w:sz="8" w:space="8" w:color="000000"/>
        </w:pBdr>
        <w:spacing w:before="100" w:after="140" w:line="280" w:lineRule="auto"/>
        <w:ind w:left="480" w:right="480"/>
        <w:rPr>
          <w:color w:val="000000" w:themeColor="text1"/>
        </w:rPr>
      </w:pPr>
      <w:r w:rsidRPr="006058CF">
        <w:rPr>
          <w:i/>
          <w:iCs/>
          <w:color w:val="000000" w:themeColor="text1"/>
          <w:sz w:val="21"/>
          <w:szCs w:val="21"/>
        </w:rPr>
        <w:t>"Read the advertisement how you will, and twist it about as you will, here is a distinct promise expressed in language which is perfectly unmistakable."</w:t>
      </w:r>
      <w:r w:rsidRPr="006058CF">
        <w:rPr>
          <w:i/>
          <w:iCs/>
          <w:color w:val="000000" w:themeColor="text1"/>
        </w:rPr>
        <w:t xml:space="preserve">  — Lindley LJ</w:t>
      </w:r>
    </w:p>
    <w:p w14:paraId="72024EF3" w14:textId="2C55F856" w:rsidR="006058CF" w:rsidRDefault="00000000" w:rsidP="006058CF">
      <w:pPr>
        <w:pBdr>
          <w:left w:val="single" w:sz="8" w:space="8" w:color="000000"/>
        </w:pBdr>
        <w:spacing w:before="100" w:after="140" w:line="280" w:lineRule="auto"/>
        <w:ind w:left="480" w:right="480"/>
        <w:rPr>
          <w:i/>
          <w:iCs/>
          <w:color w:val="000000" w:themeColor="text1"/>
        </w:rPr>
      </w:pPr>
      <w:r w:rsidRPr="006058CF">
        <w:rPr>
          <w:i/>
          <w:iCs/>
          <w:color w:val="000000" w:themeColor="text1"/>
          <w:sz w:val="21"/>
          <w:szCs w:val="21"/>
        </w:rPr>
        <w:t>"It is not a contract made with all the world. There is the fallacy of the argument. It is an offer made to all the world; and why should not an offer be made to all the world which is to ripen into a contract with anybody who comes forward and performs the condition?"</w:t>
      </w:r>
      <w:r w:rsidRPr="006058CF">
        <w:rPr>
          <w:i/>
          <w:iCs/>
          <w:color w:val="000000" w:themeColor="text1"/>
        </w:rPr>
        <w:t xml:space="preserve">  — Bowen LJ</w:t>
      </w:r>
    </w:p>
    <w:p w14:paraId="15265745" w14:textId="77777777" w:rsidR="006058CF" w:rsidRPr="006058CF" w:rsidRDefault="006058CF" w:rsidP="006058CF">
      <w:pPr>
        <w:pBdr>
          <w:left w:val="single" w:sz="8" w:space="8" w:color="000000"/>
        </w:pBdr>
        <w:spacing w:before="100" w:after="140" w:line="280" w:lineRule="auto"/>
        <w:ind w:right="480"/>
        <w:rPr>
          <w:i/>
          <w:iCs/>
          <w:color w:val="000000" w:themeColor="text1"/>
        </w:rPr>
      </w:pPr>
    </w:p>
    <w:p w14:paraId="761F76AC" w14:textId="77777777" w:rsidR="000E5C08" w:rsidRPr="006058CF" w:rsidRDefault="00000000">
      <w:pPr>
        <w:pStyle w:val="Heading1"/>
        <w:spacing w:before="300" w:after="150"/>
        <w:rPr>
          <w:color w:val="000000" w:themeColor="text1"/>
        </w:rPr>
      </w:pPr>
      <w:r w:rsidRPr="006058CF">
        <w:rPr>
          <w:b/>
          <w:bCs/>
          <w:color w:val="000000" w:themeColor="text1"/>
          <w:sz w:val="28"/>
          <w:szCs w:val="28"/>
        </w:rPr>
        <w:t>5. Legal Principle: Contract Formation Analysis</w:t>
      </w:r>
    </w:p>
    <w:p w14:paraId="30189BEC" w14:textId="77777777" w:rsidR="000E5C08" w:rsidRPr="006058CF" w:rsidRDefault="00000000">
      <w:pPr>
        <w:spacing w:after="160" w:line="300" w:lineRule="auto"/>
        <w:jc w:val="both"/>
        <w:rPr>
          <w:color w:val="000000" w:themeColor="text1"/>
        </w:rPr>
      </w:pPr>
      <w:r w:rsidRPr="006058CF">
        <w:rPr>
          <w:color w:val="000000" w:themeColor="text1"/>
          <w:sz w:val="22"/>
          <w:szCs w:val="22"/>
        </w:rPr>
        <w:t>This section examines how Carlill applies, and in some respects modifies, the classical mechanics of offer and acceptance that underpin contract formation.</w:t>
      </w:r>
    </w:p>
    <w:p w14:paraId="3B2274E4" w14:textId="77777777" w:rsidR="000E5C08" w:rsidRPr="006058CF" w:rsidRDefault="00000000">
      <w:pPr>
        <w:pStyle w:val="Heading2"/>
        <w:spacing w:before="220" w:after="120"/>
        <w:rPr>
          <w:color w:val="000000" w:themeColor="text1"/>
        </w:rPr>
      </w:pPr>
      <w:r w:rsidRPr="006058CF">
        <w:rPr>
          <w:b/>
          <w:bCs/>
          <w:color w:val="000000" w:themeColor="text1"/>
          <w:sz w:val="24"/>
          <w:szCs w:val="24"/>
        </w:rPr>
        <w:t>5.1 Evaluation of a Valid Offer</w:t>
      </w:r>
    </w:p>
    <w:p w14:paraId="33EB2599" w14:textId="77777777" w:rsidR="000E5C08" w:rsidRPr="006058CF" w:rsidRDefault="00000000">
      <w:pPr>
        <w:spacing w:after="160" w:line="300" w:lineRule="auto"/>
        <w:jc w:val="both"/>
        <w:rPr>
          <w:color w:val="000000" w:themeColor="text1"/>
        </w:rPr>
      </w:pPr>
      <w:r w:rsidRPr="006058CF">
        <w:rPr>
          <w:color w:val="000000" w:themeColor="text1"/>
          <w:sz w:val="22"/>
          <w:szCs w:val="22"/>
        </w:rPr>
        <w:t xml:space="preserve">A foundational question in any contract dispute is whether the communication in issue was a binding offer, or merely an invitation to treat, a declaration of intention, or an advertising puff — none of which are capable of acceptance. Older authority, such as Weeks v </w:t>
      </w:r>
      <w:proofErr w:type="spellStart"/>
      <w:r w:rsidRPr="006058CF">
        <w:rPr>
          <w:color w:val="000000" w:themeColor="text1"/>
          <w:sz w:val="22"/>
          <w:szCs w:val="22"/>
        </w:rPr>
        <w:t>Tybald</w:t>
      </w:r>
      <w:proofErr w:type="spellEnd"/>
      <w:r w:rsidRPr="006058CF">
        <w:rPr>
          <w:color w:val="000000" w:themeColor="text1"/>
          <w:sz w:val="22"/>
          <w:szCs w:val="22"/>
        </w:rPr>
        <w:t xml:space="preserve"> (1605), had suggested that an offer must be addressed to a definite, ascertainable person, casting doubt on whether a promise made to the public at large could ever crystallise into a binding obligation. Carlill decisively rejected that limitation.</w:t>
      </w:r>
    </w:p>
    <w:p w14:paraId="5F0E1F18" w14:textId="77777777" w:rsidR="000E5C08" w:rsidRPr="006058CF" w:rsidRDefault="00000000">
      <w:pPr>
        <w:spacing w:after="160" w:line="300" w:lineRule="auto"/>
        <w:jc w:val="both"/>
        <w:rPr>
          <w:color w:val="000000" w:themeColor="text1"/>
        </w:rPr>
      </w:pPr>
      <w:r w:rsidRPr="006058CF">
        <w:rPr>
          <w:color w:val="000000" w:themeColor="text1"/>
          <w:sz w:val="22"/>
          <w:szCs w:val="22"/>
        </w:rPr>
        <w:t>The court applied several markers to distinguish a genuine offer from a non-binding statement:</w:t>
      </w:r>
    </w:p>
    <w:p w14:paraId="3BCBC49E"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Certainty of language: The advertisement used definite, unmistakable promissory language ("£100 reward will be paid... to any person who..."), rather than the hedged or exploratory language typical of an invitation to treat, as seen in cases such as Harvey v Facey (a mere price quotation) or the shopkeeper's price list, which invites customers to make offers rather than making one itself.</w:t>
      </w:r>
    </w:p>
    <w:p w14:paraId="1342C6A1"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Objective evidence of seriousness: The £1,000 deposit at the Alliance Bank supplied independent, verifiable evidence that the company intended its promise to be acted upon — displacing the defence that the statement was mere puffery or a declaration of intention akin to Harris v Nickerson, where an auctioneer's advertisement of an auction was held to be no more than a statement of intent.</w:t>
      </w:r>
    </w:p>
    <w:p w14:paraId="03CAD12E"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Capacity for a defined class to accept: Although addressed to the world, the offer was framed so that its terms would apply to, and could be accepted by, any person who performed the stated conditions, satisfying the requirement (echoed in Anson's Law of Contract) that while an offer need not be made to an ascertained person, a contract cannot arise until it is accepted by one.</w:t>
      </w:r>
    </w:p>
    <w:p w14:paraId="16C77827" w14:textId="77777777" w:rsidR="000E5C08" w:rsidRPr="006058CF" w:rsidRDefault="00000000">
      <w:pPr>
        <w:spacing w:after="160" w:line="300" w:lineRule="auto"/>
        <w:jc w:val="both"/>
        <w:rPr>
          <w:color w:val="000000" w:themeColor="text1"/>
        </w:rPr>
      </w:pPr>
      <w:r w:rsidRPr="006058CF">
        <w:rPr>
          <w:color w:val="000000" w:themeColor="text1"/>
          <w:sz w:val="22"/>
          <w:szCs w:val="22"/>
        </w:rPr>
        <w:lastRenderedPageBreak/>
        <w:t>On this analysis, the advertisement was correctly classified as a genuine, if general, offer — an offer to the world at large — rather than an invitation to treat, because it left nothing further to be negotiated: any person who complied with its terms could hold the company to its promise without any further act of assent by the company.</w:t>
      </w:r>
    </w:p>
    <w:p w14:paraId="7D592A9C" w14:textId="77777777" w:rsidR="000E5C08" w:rsidRPr="006058CF" w:rsidRDefault="00000000">
      <w:pPr>
        <w:pStyle w:val="Heading2"/>
        <w:spacing w:before="220" w:after="120"/>
        <w:rPr>
          <w:color w:val="000000" w:themeColor="text1"/>
        </w:rPr>
      </w:pPr>
      <w:r w:rsidRPr="006058CF">
        <w:rPr>
          <w:b/>
          <w:bCs/>
          <w:color w:val="000000" w:themeColor="text1"/>
          <w:sz w:val="24"/>
          <w:szCs w:val="24"/>
        </w:rPr>
        <w:t>5.2 Mechanics of Acceptance</w:t>
      </w:r>
    </w:p>
    <w:p w14:paraId="60C49696" w14:textId="77777777" w:rsidR="000E5C08" w:rsidRPr="006058CF" w:rsidRDefault="00000000">
      <w:pPr>
        <w:spacing w:after="160" w:line="300" w:lineRule="auto"/>
        <w:jc w:val="both"/>
        <w:rPr>
          <w:color w:val="000000" w:themeColor="text1"/>
        </w:rPr>
      </w:pPr>
      <w:r w:rsidRPr="006058CF">
        <w:rPr>
          <w:color w:val="000000" w:themeColor="text1"/>
          <w:sz w:val="22"/>
          <w:szCs w:val="22"/>
        </w:rPr>
        <w:t>Ordinary contract doctrine (the mirror image rule) generally requires that acceptance be an unqualified assent to every term of the offer, and that this acceptance be communicated to the offeror before a contract is complete. In bilateral contracts, this communication requirement is strict — as illustrated by Brogden v Metropolitan Railway Co, where an uncommunicated internal note of acceptance was held insufficient to form a contract.</w:t>
      </w:r>
    </w:p>
    <w:p w14:paraId="70D1D254" w14:textId="77777777" w:rsidR="000E5C08" w:rsidRPr="006058CF" w:rsidRDefault="00000000">
      <w:pPr>
        <w:spacing w:after="160" w:line="300" w:lineRule="auto"/>
        <w:jc w:val="both"/>
        <w:rPr>
          <w:color w:val="000000" w:themeColor="text1"/>
        </w:rPr>
      </w:pPr>
      <w:r w:rsidRPr="006058CF">
        <w:rPr>
          <w:color w:val="000000" w:themeColor="text1"/>
          <w:sz w:val="22"/>
          <w:szCs w:val="22"/>
        </w:rPr>
        <w:t>Carlill establishes that this communication requirement can be impliedly waived by the offeror, and that unilateral contracts formed through public advertisements are a recognised exception. Key points:</w:t>
      </w:r>
    </w:p>
    <w:p w14:paraId="3C7ED88D"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Where the character of the transaction shows that the offeror does not expect notice of acceptance separate from notice of performance, the offeree's conduct in performing the specified conditions simultaneously constitutes both acceptance and the consideration for the promise.</w:t>
      </w:r>
    </w:p>
    <w:p w14:paraId="694672C3"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This is conceptually distinct from the Postal Rule (under which acceptance is complete on posting, even before the offeror receives it).</w:t>
      </w:r>
    </w:p>
    <w:p w14:paraId="4EAD7F00"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It is also distinct from the rules governing instantaneous electronic communication (where acceptance takes effect only on receipt).</w:t>
      </w:r>
    </w:p>
    <w:p w14:paraId="70EE0CDF"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Carlill principle instead dispenses with communicated acceptance altogether in circumstances where performance itself, once completed, is sufficient — as with advertisements for lost property or, here, a reward for a stated outcome.</w:t>
      </w:r>
    </w:p>
    <w:p w14:paraId="7770BA19" w14:textId="77777777" w:rsidR="000E5C08" w:rsidRPr="006058CF" w:rsidRDefault="00000000">
      <w:pPr>
        <w:pStyle w:val="Heading2"/>
        <w:spacing w:before="220" w:after="120"/>
        <w:rPr>
          <w:color w:val="000000" w:themeColor="text1"/>
        </w:rPr>
      </w:pPr>
      <w:r w:rsidRPr="006058CF">
        <w:rPr>
          <w:b/>
          <w:bCs/>
          <w:color w:val="000000" w:themeColor="text1"/>
          <w:sz w:val="24"/>
          <w:szCs w:val="24"/>
        </w:rPr>
        <w:t>5.3 Ancillary Pillars of Formation</w:t>
      </w:r>
    </w:p>
    <w:p w14:paraId="3AA05149" w14:textId="77777777" w:rsidR="000E5C08" w:rsidRPr="006058CF" w:rsidRDefault="00000000">
      <w:pPr>
        <w:spacing w:after="160" w:line="300" w:lineRule="auto"/>
        <w:jc w:val="both"/>
        <w:rPr>
          <w:color w:val="000000" w:themeColor="text1"/>
        </w:rPr>
      </w:pPr>
      <w:r w:rsidRPr="006058CF">
        <w:rPr>
          <w:color w:val="000000" w:themeColor="text1"/>
          <w:sz w:val="22"/>
          <w:szCs w:val="22"/>
        </w:rPr>
        <w:t>Beyond offer and acceptance, the court confirmed the presence of the two remaining pillars necessary for a legally binding agreement:</w:t>
      </w:r>
    </w:p>
    <w:p w14:paraId="335B2F44" w14:textId="77777777" w:rsidR="000E5C08" w:rsidRPr="006058CF" w:rsidRDefault="00000000">
      <w:pPr>
        <w:spacing w:before="100" w:after="100"/>
        <w:rPr>
          <w:color w:val="000000" w:themeColor="text1"/>
        </w:rPr>
      </w:pPr>
      <w:r w:rsidRPr="006058CF">
        <w:rPr>
          <w:b/>
          <w:bCs/>
          <w:color w:val="000000" w:themeColor="text1"/>
          <w:sz w:val="22"/>
          <w:szCs w:val="22"/>
        </w:rPr>
        <w:t>Consideration</w:t>
      </w:r>
    </w:p>
    <w:p w14:paraId="4C31240F"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company argued that its promise was a nudum pactum, unsupported by consideration, because using the smoke ball was a mere condition rather than something requested in exchange for the promise.</w:t>
      </w:r>
    </w:p>
    <w:p w14:paraId="144143EB"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court disagreed, identifying consideration on both sides of the bargain: Mrs. Carlill's detriment (the inconvenience of using the product exactly as directed for a fortnight) and the company's benefit (the commercial advantage of increased product sales flowing from public reliance on the advertisement).</w:t>
      </w:r>
    </w:p>
    <w:p w14:paraId="26D75A80"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 xml:space="preserve">This confirms the classical common-law position that consideration may take the form of either a benefit to the promisor or a detriment to the </w:t>
      </w:r>
      <w:proofErr w:type="spellStart"/>
      <w:r w:rsidRPr="006058CF">
        <w:rPr>
          <w:color w:val="000000" w:themeColor="text1"/>
          <w:sz w:val="22"/>
          <w:szCs w:val="22"/>
        </w:rPr>
        <w:t>promisee</w:t>
      </w:r>
      <w:proofErr w:type="spellEnd"/>
      <w:r w:rsidRPr="006058CF">
        <w:rPr>
          <w:color w:val="000000" w:themeColor="text1"/>
          <w:sz w:val="22"/>
          <w:szCs w:val="22"/>
        </w:rPr>
        <w:t>, and that its adequacy is not measured by the court so long as it has some recognisable value.</w:t>
      </w:r>
    </w:p>
    <w:p w14:paraId="2EB7A8F5" w14:textId="77777777" w:rsidR="000E5C08" w:rsidRPr="006058CF" w:rsidRDefault="00000000">
      <w:pPr>
        <w:spacing w:before="100" w:after="100"/>
        <w:rPr>
          <w:color w:val="000000" w:themeColor="text1"/>
        </w:rPr>
      </w:pPr>
      <w:r w:rsidRPr="006058CF">
        <w:rPr>
          <w:b/>
          <w:bCs/>
          <w:color w:val="000000" w:themeColor="text1"/>
          <w:sz w:val="22"/>
          <w:szCs w:val="22"/>
        </w:rPr>
        <w:t>Intention to Create Legal Relations</w:t>
      </w:r>
    </w:p>
    <w:p w14:paraId="56D98B48"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In commercial dealings, courts ordinarily presume that parties intend their agreements to be legally binding, unless that presumption is clearly rebutted.</w:t>
      </w:r>
    </w:p>
    <w:p w14:paraId="72C11F8C"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lastRenderedPageBreak/>
        <w:t>The company attempted to rebut it by characterising the advertisement as a sales puff or, in the alternative, as an "agreement in honour" not intended to found legal action.</w:t>
      </w:r>
    </w:p>
    <w:p w14:paraId="75E42841"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court found this presumption not merely unrebutted but affirmatively reinforced by the £1,000 bank deposit, treated as compelling objective evidence that the company intended its promise to have real legal consequences.</w:t>
      </w:r>
    </w:p>
    <w:p w14:paraId="31150E60" w14:textId="77777777" w:rsidR="006058CF" w:rsidRPr="006058CF" w:rsidRDefault="006058CF" w:rsidP="006058CF">
      <w:pPr>
        <w:pStyle w:val="ListParagraph"/>
        <w:spacing w:after="100" w:line="300" w:lineRule="auto"/>
        <w:ind w:left="470"/>
        <w:jc w:val="both"/>
        <w:rPr>
          <w:color w:val="000000" w:themeColor="text1"/>
        </w:rPr>
      </w:pPr>
    </w:p>
    <w:p w14:paraId="4CE9431E" w14:textId="77777777" w:rsidR="000E5C08" w:rsidRPr="006058CF" w:rsidRDefault="00000000">
      <w:pPr>
        <w:pStyle w:val="Heading1"/>
        <w:spacing w:before="300" w:after="150"/>
        <w:rPr>
          <w:color w:val="000000" w:themeColor="text1"/>
        </w:rPr>
      </w:pPr>
      <w:r w:rsidRPr="006058CF">
        <w:rPr>
          <w:b/>
          <w:bCs/>
          <w:color w:val="000000" w:themeColor="text1"/>
          <w:sz w:val="28"/>
          <w:szCs w:val="28"/>
        </w:rPr>
        <w:t>6. Business Relevance</w:t>
      </w:r>
    </w:p>
    <w:p w14:paraId="2BC0B954" w14:textId="77777777" w:rsidR="000E5C08" w:rsidRPr="006058CF" w:rsidRDefault="00000000">
      <w:pPr>
        <w:pStyle w:val="Heading2"/>
        <w:spacing w:before="220" w:after="120"/>
        <w:rPr>
          <w:color w:val="000000" w:themeColor="text1"/>
        </w:rPr>
      </w:pPr>
      <w:r w:rsidRPr="006058CF">
        <w:rPr>
          <w:b/>
          <w:bCs/>
          <w:color w:val="000000" w:themeColor="text1"/>
          <w:sz w:val="24"/>
          <w:szCs w:val="24"/>
        </w:rPr>
        <w:t>6.1 Application in Modern Business</w:t>
      </w:r>
    </w:p>
    <w:p w14:paraId="1B92A6C8" w14:textId="77777777" w:rsidR="000E5C08" w:rsidRPr="006058CF" w:rsidRDefault="00000000">
      <w:pPr>
        <w:spacing w:after="160" w:line="300" w:lineRule="auto"/>
        <w:jc w:val="both"/>
        <w:rPr>
          <w:color w:val="000000" w:themeColor="text1"/>
        </w:rPr>
      </w:pPr>
      <w:r w:rsidRPr="006058CF">
        <w:rPr>
          <w:color w:val="000000" w:themeColor="text1"/>
          <w:sz w:val="22"/>
          <w:szCs w:val="22"/>
        </w:rPr>
        <w:t>Although decided in 1892, Carlill continues to shape how courts and businesses think about advertising, promotional campaigns, and consumer-facing commitments. Its core insight — that a sufficiently definite, seriously intended promise addressed to the public can bind the party making it — has direct application across several areas of modern commerce:</w:t>
      </w:r>
    </w:p>
    <w:p w14:paraId="64150345"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Promotional and reward-based marketing: Contests, cashback guarantees, "money-back if not satisfied" promises, referral bonuses, and loyalty rewards are all structured as unilateral offers to the public, accepted by performance of the stated conditions, in the same doctrinal pattern as the smoke ball advertisement.</w:t>
      </w:r>
    </w:p>
    <w:p w14:paraId="152B6C40"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E-commerce and click-wrap transactions: Online retailers routinely make standing offers to any browsing customer, subject to the qualification that displayed prices are usually only invitations to treat. Express promotional guarantees framed in Carlill-style conditional language ("we will refund double the difference if you find it cheaper elsewhere") can constitute binding unilateral offers accepted by the customer's compliance with the stated terms.</w:t>
      </w:r>
    </w:p>
    <w:p w14:paraId="3DE4823B"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Warranty and performance guarantees in technology and finance: Software vendors, fintech platforms, and service providers frequently publish guarantees (uptime commitments, guaranteed loan approval criteria, guaranteed investment returns under stated conditions) that may be construed, if sufficiently definite and seriously intended, as offers capable of unilateral acceptance.</w:t>
      </w:r>
    </w:p>
    <w:p w14:paraId="0264E701"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 xml:space="preserve">The continuing relevance of "mere puff": Businesses still rely on the puffery defence for exaggerated, non-measurable claims. Carlill, together with its modern American counterpart Leonard v </w:t>
      </w:r>
      <w:proofErr w:type="spellStart"/>
      <w:r w:rsidRPr="006058CF">
        <w:rPr>
          <w:color w:val="000000" w:themeColor="text1"/>
          <w:sz w:val="22"/>
          <w:szCs w:val="22"/>
        </w:rPr>
        <w:t>Pepsico</w:t>
      </w:r>
      <w:proofErr w:type="spellEnd"/>
      <w:r w:rsidRPr="006058CF">
        <w:rPr>
          <w:color w:val="000000" w:themeColor="text1"/>
          <w:sz w:val="22"/>
          <w:szCs w:val="22"/>
        </w:rPr>
        <w:t>, Inc. (concerning a purported offer of a Harrier jet in a television advertisement), illustrates that the line between actionable promise and non-actionable puff turns on whether a reasonable person would understand the statement as a serious, specific, and objectively verifiable commitment.</w:t>
      </w:r>
    </w:p>
    <w:p w14:paraId="73FED578" w14:textId="77777777" w:rsidR="000E5C08" w:rsidRPr="006058CF" w:rsidRDefault="00000000">
      <w:pPr>
        <w:pStyle w:val="Heading2"/>
        <w:spacing w:before="220" w:after="120"/>
        <w:rPr>
          <w:color w:val="000000" w:themeColor="text1"/>
        </w:rPr>
      </w:pPr>
      <w:r w:rsidRPr="006058CF">
        <w:rPr>
          <w:b/>
          <w:bCs/>
          <w:color w:val="000000" w:themeColor="text1"/>
          <w:sz w:val="24"/>
          <w:szCs w:val="24"/>
        </w:rPr>
        <w:t>6.2 Risk Management &amp; Operational Compliance</w:t>
      </w:r>
    </w:p>
    <w:p w14:paraId="12506113" w14:textId="77777777" w:rsidR="000E5C08" w:rsidRPr="006058CF" w:rsidRDefault="00000000">
      <w:pPr>
        <w:spacing w:after="160" w:line="300" w:lineRule="auto"/>
        <w:jc w:val="both"/>
        <w:rPr>
          <w:color w:val="000000" w:themeColor="text1"/>
        </w:rPr>
      </w:pPr>
      <w:r w:rsidRPr="006058CF">
        <w:rPr>
          <w:color w:val="000000" w:themeColor="text1"/>
          <w:sz w:val="22"/>
          <w:szCs w:val="22"/>
        </w:rPr>
        <w:t>The judgment offers several enduring, practical lessons for businesses drafting promotional materials, terms of service, and public-facing commitments:</w:t>
      </w:r>
    </w:p>
    <w:p w14:paraId="30A8BF7D"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Draft promotional claims with precision. Vague or open-ended language (no time limit, no clearly defined triggering event) increases the risk that a promotional statement will later be construed as a binding offer on terms the business never intended.</w:t>
      </w:r>
    </w:p>
    <w:p w14:paraId="54C6F0FB"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lastRenderedPageBreak/>
        <w:t>Avoid unintended "proof of sincerity." The company's own decision to publicise a bank deposit — intended to reassure customers — became the single most damaging piece of evidence against it, because it converted an otherwise arguable puff into a demonstrably serious promise.</w:t>
      </w:r>
    </w:p>
    <w:p w14:paraId="6F17AD77"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Include express conditions, time limits, and disclaimers. Modern advertisements and promotional terms should expressly state applicable time limits, verification procedures, and any conditions precedent to a claim, rather than attempting to impose them retroactively.</w:t>
      </w:r>
    </w:p>
    <w:p w14:paraId="7A6697BA"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Anticipate statutory overlay. In most modern jurisdictions, misleading advertising is independently regulated and may attract criminal liability and regulatory enforcement quite apart from any private contractual claim.</w:t>
      </w:r>
    </w:p>
    <w:p w14:paraId="4CD7B12E"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Recognise unilateral offers as an efficient, low-friction way to build consumer trust. Used deliberately and with carefully bounded terms, unilateral reward structures remain a legitimate and effective way to demonstrate confidence in a product or service, provided the business is prepared to honour the liability it thereby assumes.</w:t>
      </w:r>
    </w:p>
    <w:p w14:paraId="04071CD9" w14:textId="77777777" w:rsidR="006058CF" w:rsidRPr="006058CF" w:rsidRDefault="006058CF" w:rsidP="006058CF">
      <w:pPr>
        <w:pStyle w:val="ListParagraph"/>
        <w:spacing w:after="100" w:line="300" w:lineRule="auto"/>
        <w:ind w:left="470"/>
        <w:jc w:val="both"/>
        <w:rPr>
          <w:color w:val="000000" w:themeColor="text1"/>
        </w:rPr>
      </w:pPr>
    </w:p>
    <w:p w14:paraId="09B5203C" w14:textId="77777777" w:rsidR="000E5C08" w:rsidRPr="006058CF" w:rsidRDefault="00000000">
      <w:pPr>
        <w:pStyle w:val="Heading1"/>
        <w:spacing w:before="300" w:after="150"/>
        <w:rPr>
          <w:color w:val="000000" w:themeColor="text1"/>
          <w:sz w:val="28"/>
          <w:szCs w:val="28"/>
        </w:rPr>
      </w:pPr>
      <w:r w:rsidRPr="006058CF">
        <w:rPr>
          <w:b/>
          <w:bCs/>
          <w:color w:val="000000" w:themeColor="text1"/>
          <w:sz w:val="28"/>
          <w:szCs w:val="28"/>
        </w:rPr>
        <w:t>7. Conclusion</w:t>
      </w:r>
    </w:p>
    <w:p w14:paraId="04A24E34" w14:textId="77777777" w:rsidR="000E5C08" w:rsidRPr="006058CF" w:rsidRDefault="00000000">
      <w:pPr>
        <w:pStyle w:val="Heading2"/>
        <w:spacing w:before="220" w:after="120"/>
        <w:rPr>
          <w:color w:val="000000" w:themeColor="text1"/>
        </w:rPr>
      </w:pPr>
      <w:r w:rsidRPr="006058CF">
        <w:rPr>
          <w:b/>
          <w:bCs/>
          <w:color w:val="000000" w:themeColor="text1"/>
          <w:sz w:val="24"/>
          <w:szCs w:val="24"/>
        </w:rPr>
        <w:t>7.1 Personal Learning and Observations</w:t>
      </w:r>
    </w:p>
    <w:p w14:paraId="619EE167" w14:textId="77777777" w:rsidR="000E5C08" w:rsidRPr="006058CF" w:rsidRDefault="00000000">
      <w:pPr>
        <w:spacing w:after="160" w:line="300" w:lineRule="auto"/>
        <w:jc w:val="both"/>
        <w:rPr>
          <w:color w:val="000000" w:themeColor="text1"/>
        </w:rPr>
      </w:pPr>
      <w:r w:rsidRPr="006058CF">
        <w:rPr>
          <w:color w:val="000000" w:themeColor="text1"/>
          <w:sz w:val="22"/>
          <w:szCs w:val="22"/>
        </w:rPr>
        <w:t>Carlill v Carbolic Smoke Ball Company endures as a foundational case not because its facts are commercially significant in isolation, but because the Court of Appeal used a mildly comic dispute over a quack medical device to work through, with unusual clarity, every essential element of contract formation: offer, acceptance, consideration, and intention to create legal relations.</w:t>
      </w:r>
    </w:p>
    <w:p w14:paraId="273A1552"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judgment demonstrates how courts move from a general rule (that offers must be made to identifiable persons and that acceptance must be communicated) to a principled exception grounded in the practical realities of commercial life.</w:t>
      </w:r>
    </w:p>
    <w:p w14:paraId="7A50A9A7"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A key observation is how much interpretive weight the court placed on a single piece of circumstantial evidence: the £1,000 bank deposit. This illustrates a broader lesson — that intention to be legally bound is judged objectively, from how a reasonable person would understand the words and conduct in question, rather than from a party's after-the-fact protestations.</w:t>
      </w:r>
    </w:p>
    <w:p w14:paraId="038954B9"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As later academic commentary (including that of Professor Hugh Collins and Professor A.W.B. Simpson) has observed, the decision was not without analytical strain: Mrs. Carlill and the company never communicated directly, and the company had no realistic means of verifying compliance by any of the potentially unlimited number of claimants. The judges' willingness to characterise mere performance as "acceptance" required a degree of doctrinal innovation.</w:t>
      </w:r>
    </w:p>
    <w:p w14:paraId="4683E3CC" w14:textId="77777777" w:rsidR="000E5C08" w:rsidRPr="006058CF" w:rsidRDefault="00000000">
      <w:pPr>
        <w:pStyle w:val="ListParagraph"/>
        <w:numPr>
          <w:ilvl w:val="0"/>
          <w:numId w:val="2"/>
        </w:numPr>
        <w:spacing w:after="100" w:line="300" w:lineRule="auto"/>
        <w:jc w:val="both"/>
        <w:rPr>
          <w:color w:val="000000" w:themeColor="text1"/>
        </w:rPr>
      </w:pPr>
      <w:r w:rsidRPr="006058CF">
        <w:rPr>
          <w:color w:val="000000" w:themeColor="text1"/>
          <w:sz w:val="22"/>
          <w:szCs w:val="22"/>
        </w:rPr>
        <w:t>The case remains instructive precisely because it sits at the intersection of contract law and consumer protection, doctrine and policy, and legal formalism and commercial common sense.</w:t>
      </w:r>
    </w:p>
    <w:p w14:paraId="4CC6D17D" w14:textId="7071AC31" w:rsidR="000E5C08" w:rsidRPr="006058CF" w:rsidRDefault="000E5C08">
      <w:pPr>
        <w:spacing w:after="160" w:line="300" w:lineRule="auto"/>
        <w:jc w:val="both"/>
        <w:rPr>
          <w:color w:val="000000" w:themeColor="text1"/>
        </w:rPr>
      </w:pPr>
    </w:p>
    <w:sectPr w:rsidR="000E5C08" w:rsidRPr="006058C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C4E08"/>
    <w:multiLevelType w:val="hybridMultilevel"/>
    <w:tmpl w:val="82A67FB8"/>
    <w:lvl w:ilvl="0" w:tplc="4D0A08F4">
      <w:start w:val="1"/>
      <w:numFmt w:val="bullet"/>
      <w:lvlText w:val="●"/>
      <w:lvlJc w:val="left"/>
      <w:pPr>
        <w:ind w:left="720" w:hanging="360"/>
      </w:pPr>
    </w:lvl>
    <w:lvl w:ilvl="1" w:tplc="CE76195C">
      <w:start w:val="1"/>
      <w:numFmt w:val="bullet"/>
      <w:lvlText w:val="○"/>
      <w:lvlJc w:val="left"/>
      <w:pPr>
        <w:ind w:left="1440" w:hanging="360"/>
      </w:pPr>
    </w:lvl>
    <w:lvl w:ilvl="2" w:tplc="23C0E63C">
      <w:start w:val="1"/>
      <w:numFmt w:val="bullet"/>
      <w:lvlText w:val="■"/>
      <w:lvlJc w:val="left"/>
      <w:pPr>
        <w:ind w:left="2160" w:hanging="360"/>
      </w:pPr>
    </w:lvl>
    <w:lvl w:ilvl="3" w:tplc="345C2044">
      <w:start w:val="1"/>
      <w:numFmt w:val="bullet"/>
      <w:lvlText w:val="●"/>
      <w:lvlJc w:val="left"/>
      <w:pPr>
        <w:ind w:left="2880" w:hanging="360"/>
      </w:pPr>
    </w:lvl>
    <w:lvl w:ilvl="4" w:tplc="28825F00">
      <w:start w:val="1"/>
      <w:numFmt w:val="bullet"/>
      <w:lvlText w:val="○"/>
      <w:lvlJc w:val="left"/>
      <w:pPr>
        <w:ind w:left="3600" w:hanging="360"/>
      </w:pPr>
    </w:lvl>
    <w:lvl w:ilvl="5" w:tplc="EE888CF6">
      <w:start w:val="1"/>
      <w:numFmt w:val="bullet"/>
      <w:lvlText w:val="■"/>
      <w:lvlJc w:val="left"/>
      <w:pPr>
        <w:ind w:left="4320" w:hanging="360"/>
      </w:pPr>
    </w:lvl>
    <w:lvl w:ilvl="6" w:tplc="5254F6A0">
      <w:start w:val="1"/>
      <w:numFmt w:val="bullet"/>
      <w:lvlText w:val="●"/>
      <w:lvlJc w:val="left"/>
      <w:pPr>
        <w:ind w:left="5040" w:hanging="360"/>
      </w:pPr>
    </w:lvl>
    <w:lvl w:ilvl="7" w:tplc="247613F6">
      <w:start w:val="1"/>
      <w:numFmt w:val="bullet"/>
      <w:lvlText w:val="●"/>
      <w:lvlJc w:val="left"/>
      <w:pPr>
        <w:ind w:left="5760" w:hanging="360"/>
      </w:pPr>
    </w:lvl>
    <w:lvl w:ilvl="8" w:tplc="035E9130">
      <w:start w:val="1"/>
      <w:numFmt w:val="bullet"/>
      <w:lvlText w:val="●"/>
      <w:lvlJc w:val="left"/>
      <w:pPr>
        <w:ind w:left="6480" w:hanging="360"/>
      </w:pPr>
    </w:lvl>
  </w:abstractNum>
  <w:abstractNum w:abstractNumId="1" w15:restartNumberingAfterBreak="0">
    <w:nsid w:val="2A4C51D9"/>
    <w:multiLevelType w:val="hybridMultilevel"/>
    <w:tmpl w:val="F02A1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F91B89"/>
    <w:multiLevelType w:val="hybridMultilevel"/>
    <w:tmpl w:val="163A2A24"/>
    <w:lvl w:ilvl="0" w:tplc="16144FD8">
      <w:start w:val="1"/>
      <w:numFmt w:val="bullet"/>
      <w:lvlText w:val="•"/>
      <w:lvlJc w:val="left"/>
      <w:pPr>
        <w:ind w:left="470" w:hanging="260"/>
      </w:pPr>
    </w:lvl>
    <w:lvl w:ilvl="1" w:tplc="84D0976C">
      <w:numFmt w:val="decimal"/>
      <w:lvlText w:val=""/>
      <w:lvlJc w:val="left"/>
    </w:lvl>
    <w:lvl w:ilvl="2" w:tplc="915E2FE6">
      <w:numFmt w:val="decimal"/>
      <w:lvlText w:val=""/>
      <w:lvlJc w:val="left"/>
    </w:lvl>
    <w:lvl w:ilvl="3" w:tplc="15D03B0C">
      <w:numFmt w:val="decimal"/>
      <w:lvlText w:val=""/>
      <w:lvlJc w:val="left"/>
    </w:lvl>
    <w:lvl w:ilvl="4" w:tplc="97787626">
      <w:numFmt w:val="decimal"/>
      <w:lvlText w:val=""/>
      <w:lvlJc w:val="left"/>
    </w:lvl>
    <w:lvl w:ilvl="5" w:tplc="EE0E1990">
      <w:numFmt w:val="decimal"/>
      <w:lvlText w:val=""/>
      <w:lvlJc w:val="left"/>
    </w:lvl>
    <w:lvl w:ilvl="6" w:tplc="1EB0CDC8">
      <w:numFmt w:val="decimal"/>
      <w:lvlText w:val=""/>
      <w:lvlJc w:val="left"/>
    </w:lvl>
    <w:lvl w:ilvl="7" w:tplc="1612F378">
      <w:numFmt w:val="decimal"/>
      <w:lvlText w:val=""/>
      <w:lvlJc w:val="left"/>
    </w:lvl>
    <w:lvl w:ilvl="8" w:tplc="ED522170">
      <w:numFmt w:val="decimal"/>
      <w:lvlText w:val=""/>
      <w:lvlJc w:val="left"/>
    </w:lvl>
  </w:abstractNum>
  <w:num w:numId="1" w16cid:durableId="1539850860">
    <w:abstractNumId w:val="0"/>
    <w:lvlOverride w:ilvl="0">
      <w:startOverride w:val="1"/>
    </w:lvlOverride>
  </w:num>
  <w:num w:numId="2" w16cid:durableId="1233737186">
    <w:abstractNumId w:val="2"/>
    <w:lvlOverride w:ilvl="0">
      <w:startOverride w:val="1"/>
    </w:lvlOverride>
  </w:num>
  <w:num w:numId="3" w16cid:durableId="212861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08"/>
    <w:rsid w:val="0000105B"/>
    <w:rsid w:val="000B629E"/>
    <w:rsid w:val="000E5C08"/>
    <w:rsid w:val="00170648"/>
    <w:rsid w:val="001A007E"/>
    <w:rsid w:val="001D1745"/>
    <w:rsid w:val="001E27A4"/>
    <w:rsid w:val="00266E2E"/>
    <w:rsid w:val="00313B20"/>
    <w:rsid w:val="00345CAA"/>
    <w:rsid w:val="00355176"/>
    <w:rsid w:val="00583AC2"/>
    <w:rsid w:val="006058CF"/>
    <w:rsid w:val="007905CA"/>
    <w:rsid w:val="00836BF7"/>
    <w:rsid w:val="00861B76"/>
    <w:rsid w:val="008D5435"/>
    <w:rsid w:val="00937EE7"/>
    <w:rsid w:val="00960B63"/>
    <w:rsid w:val="0099017C"/>
    <w:rsid w:val="00E946DD"/>
    <w:rsid w:val="00EE74F4"/>
    <w:rsid w:val="00EF4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F6E1C"/>
  <w15:docId w15:val="{6BA7BC99-6689-4A1B-B816-4F836870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45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3519</Words>
  <Characters>20063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3</cp:revision>
  <dcterms:created xsi:type="dcterms:W3CDTF">2026-07-04T07:09:00Z</dcterms:created>
  <dcterms:modified xsi:type="dcterms:W3CDTF">2026-09-24T18:17:00Z</dcterms:modified>
</cp:coreProperties>
</file>