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EF86D" w14:textId="77777777" w:rsidR="00CF1E36" w:rsidRPr="00CF1E36" w:rsidRDefault="00CF1E36" w:rsidP="00CF1E36">
      <w:pPr>
        <w:rPr>
          <w:rFonts w:ascii="Times New Roman" w:hAnsi="Times New Roman" w:cs="Times New Roman"/>
        </w:rPr>
      </w:pPr>
      <w:r w:rsidRPr="00CF1E36">
        <w:rPr>
          <w:rFonts w:ascii="Times New Roman" w:hAnsi="Times New Roman" w:cs="Times New Roman"/>
        </w:rPr>
        <w:t> </w:t>
      </w:r>
    </w:p>
    <w:p w14:paraId="18D8BF04" w14:textId="77777777" w:rsidR="00CF1E36" w:rsidRDefault="00CF1E36" w:rsidP="00CF1E36">
      <w:pPr>
        <w:jc w:val="center"/>
        <w:rPr>
          <w:rFonts w:ascii="Times New Roman" w:hAnsi="Times New Roman" w:cs="Times New Roman"/>
          <w:b/>
          <w:bCs/>
          <w:sz w:val="52"/>
          <w:szCs w:val="52"/>
        </w:rPr>
      </w:pPr>
    </w:p>
    <w:p w14:paraId="70501133" w14:textId="77777777" w:rsidR="00CF1E36" w:rsidRDefault="00CF1E36" w:rsidP="00CF1E36">
      <w:pPr>
        <w:jc w:val="center"/>
        <w:rPr>
          <w:rFonts w:ascii="Times New Roman" w:hAnsi="Times New Roman" w:cs="Times New Roman"/>
          <w:b/>
          <w:bCs/>
          <w:sz w:val="52"/>
          <w:szCs w:val="52"/>
        </w:rPr>
      </w:pPr>
    </w:p>
    <w:p w14:paraId="7ABB9813" w14:textId="77777777" w:rsidR="00CF1E36" w:rsidRDefault="00CF1E36" w:rsidP="00CF1E36">
      <w:pPr>
        <w:jc w:val="center"/>
        <w:rPr>
          <w:rFonts w:ascii="Times New Roman" w:hAnsi="Times New Roman" w:cs="Times New Roman"/>
          <w:b/>
          <w:bCs/>
          <w:sz w:val="52"/>
          <w:szCs w:val="52"/>
        </w:rPr>
      </w:pPr>
    </w:p>
    <w:p w14:paraId="318D3E39" w14:textId="4AB0C67D" w:rsidR="00CF1E36" w:rsidRPr="007730C3" w:rsidRDefault="00CF1E36" w:rsidP="00CF1E36">
      <w:pPr>
        <w:jc w:val="center"/>
        <w:rPr>
          <w:rFonts w:ascii="Times New Roman" w:hAnsi="Times New Roman" w:cs="Times New Roman"/>
          <w:sz w:val="72"/>
          <w:szCs w:val="72"/>
        </w:rPr>
      </w:pPr>
      <w:r w:rsidRPr="007730C3">
        <w:rPr>
          <w:rFonts w:ascii="Times New Roman" w:hAnsi="Times New Roman" w:cs="Times New Roman"/>
          <w:b/>
          <w:bCs/>
          <w:sz w:val="72"/>
          <w:szCs w:val="72"/>
        </w:rPr>
        <w:t>CASE ANALYSIS</w:t>
      </w:r>
    </w:p>
    <w:p w14:paraId="1298D545" w14:textId="15CFC5BE" w:rsidR="00CF1E36" w:rsidRPr="007730C3" w:rsidRDefault="00CF1E36" w:rsidP="00CF1E36">
      <w:pPr>
        <w:jc w:val="center"/>
        <w:rPr>
          <w:rFonts w:ascii="Times New Roman" w:hAnsi="Times New Roman" w:cs="Times New Roman"/>
          <w:sz w:val="28"/>
          <w:szCs w:val="28"/>
        </w:rPr>
      </w:pPr>
      <w:r w:rsidRPr="007730C3">
        <w:rPr>
          <w:rFonts w:ascii="Times New Roman" w:hAnsi="Times New Roman" w:cs="Times New Roman"/>
          <w:b/>
          <w:bCs/>
          <w:sz w:val="28"/>
          <w:szCs w:val="28"/>
        </w:rPr>
        <w:t xml:space="preserve">Capacity to Contract and the Doctrine of Void Agreements: A Critical Analysis of </w:t>
      </w:r>
      <w:proofErr w:type="spellStart"/>
      <w:r w:rsidRPr="007730C3">
        <w:rPr>
          <w:rFonts w:ascii="Times New Roman" w:hAnsi="Times New Roman" w:cs="Times New Roman"/>
          <w:b/>
          <w:bCs/>
          <w:sz w:val="28"/>
          <w:szCs w:val="28"/>
        </w:rPr>
        <w:t>Mohori</w:t>
      </w:r>
      <w:proofErr w:type="spellEnd"/>
      <w:r w:rsidRPr="007730C3">
        <w:rPr>
          <w:rFonts w:ascii="Times New Roman" w:hAnsi="Times New Roman" w:cs="Times New Roman"/>
          <w:b/>
          <w:bCs/>
          <w:sz w:val="28"/>
          <w:szCs w:val="28"/>
        </w:rPr>
        <w:t xml:space="preserve"> Bibee v </w:t>
      </w:r>
      <w:proofErr w:type="spellStart"/>
      <w:r w:rsidRPr="007730C3">
        <w:rPr>
          <w:rFonts w:ascii="Times New Roman" w:hAnsi="Times New Roman" w:cs="Times New Roman"/>
          <w:b/>
          <w:bCs/>
          <w:sz w:val="28"/>
          <w:szCs w:val="28"/>
        </w:rPr>
        <w:t>Dharmodas</w:t>
      </w:r>
      <w:proofErr w:type="spellEnd"/>
      <w:r w:rsidRPr="007730C3">
        <w:rPr>
          <w:rFonts w:ascii="Times New Roman" w:hAnsi="Times New Roman" w:cs="Times New Roman"/>
          <w:b/>
          <w:bCs/>
          <w:sz w:val="28"/>
          <w:szCs w:val="28"/>
        </w:rPr>
        <w:t xml:space="preserve"> Ghose [1903]</w:t>
      </w:r>
    </w:p>
    <w:p w14:paraId="0C3A7343" w14:textId="77777777" w:rsidR="00CF1E36" w:rsidRPr="00CF1E36" w:rsidRDefault="00CF1E36" w:rsidP="00CF1E36">
      <w:pPr>
        <w:rPr>
          <w:rFonts w:ascii="Times New Roman" w:hAnsi="Times New Roman" w:cs="Times New Roman"/>
        </w:rPr>
      </w:pPr>
      <w:r w:rsidRPr="00CF1E36">
        <w:rPr>
          <w:rFonts w:ascii="Times New Roman" w:hAnsi="Times New Roman" w:cs="Times New Roman"/>
        </w:rPr>
        <w:t> </w:t>
      </w:r>
    </w:p>
    <w:p w14:paraId="629C6F49" w14:textId="77777777" w:rsidR="00CF1E36" w:rsidRDefault="00CF1E36" w:rsidP="00CF1E36">
      <w:pPr>
        <w:rPr>
          <w:rFonts w:ascii="Times New Roman" w:hAnsi="Times New Roman" w:cs="Times New Roman"/>
          <w:b/>
          <w:bCs/>
        </w:rPr>
      </w:pPr>
    </w:p>
    <w:p w14:paraId="3883ACF2" w14:textId="77777777" w:rsidR="00CF1E36" w:rsidRDefault="00CF1E36" w:rsidP="00CF1E36">
      <w:pPr>
        <w:rPr>
          <w:rFonts w:ascii="Times New Roman" w:hAnsi="Times New Roman" w:cs="Times New Roman"/>
          <w:b/>
          <w:bCs/>
        </w:rPr>
      </w:pPr>
    </w:p>
    <w:p w14:paraId="2E4BC2B2" w14:textId="77777777" w:rsidR="00CF1E36" w:rsidRDefault="00CF1E36" w:rsidP="00CF1E36">
      <w:pPr>
        <w:rPr>
          <w:rFonts w:ascii="Times New Roman" w:hAnsi="Times New Roman" w:cs="Times New Roman"/>
          <w:b/>
          <w:bCs/>
        </w:rPr>
      </w:pPr>
    </w:p>
    <w:p w14:paraId="577D7B6E" w14:textId="77777777" w:rsidR="00CF1E36" w:rsidRDefault="00CF1E36" w:rsidP="00CF1E36">
      <w:pPr>
        <w:rPr>
          <w:rFonts w:ascii="Times New Roman" w:hAnsi="Times New Roman" w:cs="Times New Roman"/>
          <w:b/>
          <w:bCs/>
        </w:rPr>
      </w:pPr>
    </w:p>
    <w:p w14:paraId="6955E330" w14:textId="77777777" w:rsidR="00CF1E36" w:rsidRDefault="00CF1E36" w:rsidP="00CF1E36">
      <w:pPr>
        <w:rPr>
          <w:rFonts w:ascii="Times New Roman" w:hAnsi="Times New Roman" w:cs="Times New Roman"/>
          <w:b/>
          <w:bCs/>
        </w:rPr>
      </w:pPr>
    </w:p>
    <w:p w14:paraId="660D43B2" w14:textId="77777777" w:rsidR="00CF1E36" w:rsidRDefault="00CF1E36" w:rsidP="00CF1E36">
      <w:pPr>
        <w:rPr>
          <w:rFonts w:ascii="Times New Roman" w:hAnsi="Times New Roman" w:cs="Times New Roman"/>
          <w:b/>
          <w:bCs/>
        </w:rPr>
      </w:pPr>
    </w:p>
    <w:p w14:paraId="3F79C170" w14:textId="77777777" w:rsidR="00CF1E36" w:rsidRDefault="00CF1E36" w:rsidP="00CF1E36">
      <w:pPr>
        <w:rPr>
          <w:rFonts w:ascii="Times New Roman" w:hAnsi="Times New Roman" w:cs="Times New Roman"/>
          <w:b/>
          <w:bCs/>
        </w:rPr>
      </w:pPr>
    </w:p>
    <w:p w14:paraId="6F4DBF3B" w14:textId="77777777" w:rsidR="00CF1E36" w:rsidRDefault="00CF1E36" w:rsidP="00CF1E36">
      <w:pPr>
        <w:jc w:val="right"/>
        <w:rPr>
          <w:rFonts w:ascii="Times New Roman" w:hAnsi="Times New Roman" w:cs="Times New Roman"/>
          <w:b/>
          <w:bCs/>
        </w:rPr>
      </w:pPr>
    </w:p>
    <w:p w14:paraId="7B964AC0" w14:textId="77777777" w:rsidR="00CF1E36" w:rsidRDefault="00CF1E36" w:rsidP="00CF1E36">
      <w:pPr>
        <w:jc w:val="right"/>
        <w:rPr>
          <w:rFonts w:ascii="Times New Roman" w:hAnsi="Times New Roman" w:cs="Times New Roman"/>
          <w:b/>
          <w:bCs/>
        </w:rPr>
      </w:pPr>
    </w:p>
    <w:p w14:paraId="396497D9" w14:textId="14AE3E3C" w:rsidR="00CF1E36" w:rsidRPr="00CF1E36" w:rsidRDefault="00CF1E36" w:rsidP="00CF1E36">
      <w:pPr>
        <w:jc w:val="right"/>
        <w:rPr>
          <w:rFonts w:ascii="Times New Roman" w:hAnsi="Times New Roman" w:cs="Times New Roman"/>
        </w:rPr>
      </w:pPr>
      <w:r w:rsidRPr="00CF1E36">
        <w:rPr>
          <w:rFonts w:ascii="Times New Roman" w:hAnsi="Times New Roman" w:cs="Times New Roman"/>
          <w:b/>
          <w:bCs/>
        </w:rPr>
        <w:t xml:space="preserve">Name: </w:t>
      </w:r>
      <w:r w:rsidRPr="00CF1E36">
        <w:rPr>
          <w:rFonts w:ascii="Times New Roman" w:hAnsi="Times New Roman" w:cs="Times New Roman"/>
        </w:rPr>
        <w:t>MANOJ KUMAR K</w:t>
      </w:r>
    </w:p>
    <w:p w14:paraId="632236BF" w14:textId="77777777" w:rsidR="00CF1E36" w:rsidRPr="00CF1E36" w:rsidRDefault="00CF1E36" w:rsidP="00CF1E36">
      <w:pPr>
        <w:jc w:val="right"/>
        <w:rPr>
          <w:rFonts w:ascii="Times New Roman" w:hAnsi="Times New Roman" w:cs="Times New Roman"/>
        </w:rPr>
      </w:pPr>
      <w:r w:rsidRPr="00CF1E36">
        <w:rPr>
          <w:rFonts w:ascii="Times New Roman" w:hAnsi="Times New Roman" w:cs="Times New Roman"/>
          <w:b/>
          <w:bCs/>
        </w:rPr>
        <w:t xml:space="preserve">Register no: </w:t>
      </w:r>
      <w:r w:rsidRPr="00CF1E36">
        <w:rPr>
          <w:rFonts w:ascii="Times New Roman" w:hAnsi="Times New Roman" w:cs="Times New Roman"/>
        </w:rPr>
        <w:t>5272510210 </w:t>
      </w:r>
    </w:p>
    <w:p w14:paraId="329B3233" w14:textId="77777777" w:rsidR="00CF1E36" w:rsidRDefault="00CF1E36" w:rsidP="00CF1E36">
      <w:pPr>
        <w:rPr>
          <w:rFonts w:ascii="Times New Roman" w:hAnsi="Times New Roman" w:cs="Times New Roman"/>
        </w:rPr>
      </w:pPr>
      <w:r w:rsidRPr="00CF1E36">
        <w:rPr>
          <w:rFonts w:ascii="Times New Roman" w:hAnsi="Times New Roman" w:cs="Times New Roman"/>
        </w:rPr>
        <w:t> </w:t>
      </w:r>
    </w:p>
    <w:p w14:paraId="102BD7BB" w14:textId="77777777" w:rsidR="00CF1E36" w:rsidRDefault="00CF1E36" w:rsidP="00CF1E36">
      <w:pPr>
        <w:rPr>
          <w:rFonts w:ascii="Times New Roman" w:hAnsi="Times New Roman" w:cs="Times New Roman"/>
        </w:rPr>
      </w:pPr>
    </w:p>
    <w:p w14:paraId="7FE31686" w14:textId="77777777" w:rsidR="00CF1E36" w:rsidRDefault="00CF1E36" w:rsidP="00CF1E36">
      <w:pPr>
        <w:rPr>
          <w:rFonts w:ascii="Times New Roman" w:hAnsi="Times New Roman" w:cs="Times New Roman"/>
        </w:rPr>
      </w:pPr>
    </w:p>
    <w:p w14:paraId="5B926461" w14:textId="77777777" w:rsidR="00CF1E36" w:rsidRDefault="00CF1E36" w:rsidP="00CF1E36">
      <w:pPr>
        <w:rPr>
          <w:rFonts w:ascii="Times New Roman" w:hAnsi="Times New Roman" w:cs="Times New Roman"/>
        </w:rPr>
      </w:pPr>
    </w:p>
    <w:p w14:paraId="1C6A9591" w14:textId="77777777" w:rsidR="00CF1E36" w:rsidRDefault="00CF1E36" w:rsidP="00CF1E36">
      <w:pPr>
        <w:rPr>
          <w:rFonts w:ascii="Times New Roman" w:hAnsi="Times New Roman" w:cs="Times New Roman"/>
        </w:rPr>
      </w:pPr>
    </w:p>
    <w:p w14:paraId="3FEBA212" w14:textId="77777777" w:rsidR="00CF1E36" w:rsidRDefault="00CF1E36" w:rsidP="00CF1E36">
      <w:pPr>
        <w:rPr>
          <w:rFonts w:ascii="Times New Roman" w:hAnsi="Times New Roman" w:cs="Times New Roman"/>
        </w:rPr>
      </w:pPr>
    </w:p>
    <w:p w14:paraId="41B85956" w14:textId="77777777" w:rsidR="00CF1E36" w:rsidRDefault="00CF1E36" w:rsidP="00CF1E36">
      <w:pPr>
        <w:rPr>
          <w:rFonts w:ascii="Times New Roman" w:hAnsi="Times New Roman" w:cs="Times New Roman"/>
        </w:rPr>
      </w:pPr>
    </w:p>
    <w:p w14:paraId="5DCB39BE" w14:textId="77777777" w:rsidR="00CF1E36" w:rsidRDefault="00CF1E36" w:rsidP="00CF1E36">
      <w:pPr>
        <w:rPr>
          <w:rFonts w:ascii="Times New Roman" w:hAnsi="Times New Roman" w:cs="Times New Roman"/>
        </w:rPr>
      </w:pPr>
    </w:p>
    <w:p w14:paraId="51ADC7B0" w14:textId="77777777" w:rsidR="00CF1E36" w:rsidRDefault="00CF1E36" w:rsidP="00CF1E36">
      <w:pPr>
        <w:rPr>
          <w:rFonts w:ascii="Times New Roman" w:hAnsi="Times New Roman" w:cs="Times New Roman"/>
        </w:rPr>
      </w:pPr>
    </w:p>
    <w:p w14:paraId="06E1AF30" w14:textId="284D85DD" w:rsidR="00CF1E36" w:rsidRPr="007730C3" w:rsidRDefault="00CF1E36" w:rsidP="00CF1E36">
      <w:pPr>
        <w:rPr>
          <w:rFonts w:ascii="Times New Roman" w:hAnsi="Times New Roman" w:cs="Times New Roman"/>
          <w:b/>
          <w:bCs/>
          <w:sz w:val="28"/>
          <w:szCs w:val="28"/>
        </w:rPr>
      </w:pPr>
      <w:r w:rsidRPr="007730C3">
        <w:rPr>
          <w:rFonts w:ascii="Times New Roman" w:hAnsi="Times New Roman" w:cs="Times New Roman"/>
          <w:b/>
          <w:bCs/>
          <w:sz w:val="28"/>
          <w:szCs w:val="28"/>
        </w:rPr>
        <w:t>Table</w:t>
      </w:r>
      <w:r w:rsidRPr="007730C3">
        <w:rPr>
          <w:rFonts w:ascii="Times New Roman" w:hAnsi="Times New Roman" w:cs="Times New Roman"/>
          <w:b/>
          <w:bCs/>
          <w:sz w:val="28"/>
          <w:szCs w:val="28"/>
        </w:rPr>
        <w:t xml:space="preserve"> of </w:t>
      </w:r>
      <w:r w:rsidRPr="007730C3">
        <w:rPr>
          <w:rFonts w:ascii="Times New Roman" w:hAnsi="Times New Roman" w:cs="Times New Roman"/>
          <w:b/>
          <w:bCs/>
          <w:sz w:val="28"/>
          <w:szCs w:val="28"/>
        </w:rPr>
        <w:t>Content </w:t>
      </w:r>
    </w:p>
    <w:p w14:paraId="5B6B1D0A" w14:textId="563A796B" w:rsidR="00CF1E36" w:rsidRDefault="00CF1E36" w:rsidP="00CF1E36">
      <w:pPr>
        <w:rPr>
          <w:rFonts w:ascii="Times New Roman" w:hAnsi="Times New Roman" w:cs="Times New Roman"/>
        </w:rPr>
      </w:pPr>
      <w:r w:rsidRPr="00CF1E36">
        <w:rPr>
          <w:rFonts w:ascii="Times New Roman" w:hAnsi="Times New Roman" w:cs="Times New Roman"/>
        </w:rPr>
        <w:drawing>
          <wp:anchor distT="0" distB="0" distL="114300" distR="114300" simplePos="0" relativeHeight="251658240" behindDoc="0" locked="0" layoutInCell="1" allowOverlap="1" wp14:anchorId="650CB821" wp14:editId="385FFF97">
            <wp:simplePos x="0" y="0"/>
            <wp:positionH relativeFrom="column">
              <wp:posOffset>-47625</wp:posOffset>
            </wp:positionH>
            <wp:positionV relativeFrom="paragraph">
              <wp:posOffset>305435</wp:posOffset>
            </wp:positionV>
            <wp:extent cx="5668010" cy="5058410"/>
            <wp:effectExtent l="0" t="0" r="8890" b="8890"/>
            <wp:wrapSquare wrapText="bothSides"/>
            <wp:docPr id="81598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87218" name=""/>
                    <pic:cNvPicPr/>
                  </pic:nvPicPr>
                  <pic:blipFill>
                    <a:blip r:embed="rId5">
                      <a:extLst>
                        <a:ext uri="{28A0092B-C50C-407E-A947-70E740481C1C}">
                          <a14:useLocalDpi xmlns:a14="http://schemas.microsoft.com/office/drawing/2010/main" val="0"/>
                        </a:ext>
                      </a:extLst>
                    </a:blip>
                    <a:stretch>
                      <a:fillRect/>
                    </a:stretch>
                  </pic:blipFill>
                  <pic:spPr>
                    <a:xfrm>
                      <a:off x="0" y="0"/>
                      <a:ext cx="5668010" cy="5058410"/>
                    </a:xfrm>
                    <a:prstGeom prst="rect">
                      <a:avLst/>
                    </a:prstGeom>
                  </pic:spPr>
                </pic:pic>
              </a:graphicData>
            </a:graphic>
          </wp:anchor>
        </w:drawing>
      </w:r>
      <w:r w:rsidRPr="00CF1E36">
        <w:rPr>
          <w:rFonts w:ascii="Times New Roman" w:hAnsi="Times New Roman" w:cs="Times New Roman"/>
        </w:rPr>
        <w:t>​​ </w:t>
      </w:r>
    </w:p>
    <w:p w14:paraId="118F10CB" w14:textId="77777777" w:rsidR="00CF1E36" w:rsidRDefault="00CF1E36" w:rsidP="00CF1E36">
      <w:pPr>
        <w:rPr>
          <w:rFonts w:ascii="Times New Roman" w:hAnsi="Times New Roman" w:cs="Times New Roman"/>
        </w:rPr>
      </w:pPr>
    </w:p>
    <w:p w14:paraId="38AE0D2E" w14:textId="77777777" w:rsidR="00CF1E36" w:rsidRDefault="00CF1E36" w:rsidP="00CF1E36">
      <w:pPr>
        <w:rPr>
          <w:rFonts w:ascii="Times New Roman" w:hAnsi="Times New Roman" w:cs="Times New Roman"/>
        </w:rPr>
      </w:pPr>
    </w:p>
    <w:p w14:paraId="13B1C32A" w14:textId="77777777" w:rsidR="00CF1E36" w:rsidRDefault="00CF1E36" w:rsidP="00CF1E36">
      <w:pPr>
        <w:rPr>
          <w:rFonts w:ascii="Times New Roman" w:hAnsi="Times New Roman" w:cs="Times New Roman"/>
        </w:rPr>
      </w:pPr>
    </w:p>
    <w:p w14:paraId="73B6BA2E" w14:textId="77777777" w:rsidR="00CF1E36" w:rsidRDefault="00CF1E36" w:rsidP="00CF1E36">
      <w:pPr>
        <w:rPr>
          <w:rFonts w:ascii="Times New Roman" w:hAnsi="Times New Roman" w:cs="Times New Roman"/>
        </w:rPr>
      </w:pPr>
    </w:p>
    <w:p w14:paraId="6D1FDFEC" w14:textId="77777777" w:rsidR="00CF1E36" w:rsidRDefault="00CF1E36" w:rsidP="00CF1E36">
      <w:pPr>
        <w:rPr>
          <w:rFonts w:ascii="Times New Roman" w:hAnsi="Times New Roman" w:cs="Times New Roman"/>
        </w:rPr>
      </w:pPr>
    </w:p>
    <w:p w14:paraId="3DEC6385" w14:textId="77777777" w:rsidR="00CF1E36" w:rsidRDefault="00CF1E36" w:rsidP="00CF1E36">
      <w:pPr>
        <w:rPr>
          <w:rFonts w:ascii="Times New Roman" w:hAnsi="Times New Roman" w:cs="Times New Roman"/>
        </w:rPr>
      </w:pPr>
    </w:p>
    <w:p w14:paraId="7C092FB7" w14:textId="77777777" w:rsidR="007730C3" w:rsidRDefault="007730C3" w:rsidP="00CF1E36">
      <w:pPr>
        <w:rPr>
          <w:rFonts w:ascii="Times New Roman" w:hAnsi="Times New Roman" w:cs="Times New Roman"/>
        </w:rPr>
      </w:pPr>
    </w:p>
    <w:p w14:paraId="18684860" w14:textId="3B2B026F" w:rsidR="00CF1E36" w:rsidRPr="00CF1E36" w:rsidRDefault="00CF1E36" w:rsidP="00CF1E36">
      <w:pPr>
        <w:rPr>
          <w:rFonts w:ascii="Times New Roman" w:hAnsi="Times New Roman" w:cs="Times New Roman"/>
          <w:b/>
          <w:bCs/>
          <w:sz w:val="28"/>
          <w:szCs w:val="28"/>
        </w:rPr>
      </w:pPr>
      <w:r w:rsidRPr="00CF1E36">
        <w:rPr>
          <w:rFonts w:ascii="Times New Roman" w:hAnsi="Times New Roman" w:cs="Times New Roman"/>
          <w:b/>
          <w:bCs/>
          <w:sz w:val="28"/>
          <w:szCs w:val="28"/>
        </w:rPr>
        <w:lastRenderedPageBreak/>
        <w:t>Introduction </w:t>
      </w:r>
    </w:p>
    <w:p w14:paraId="73AD4FF5" w14:textId="77777777" w:rsidR="00CF1E36" w:rsidRPr="00CF1E36" w:rsidRDefault="00CF1E36" w:rsidP="00CF1E36">
      <w:pPr>
        <w:rPr>
          <w:rFonts w:ascii="Times New Roman" w:hAnsi="Times New Roman" w:cs="Times New Roman"/>
          <w:b/>
          <w:bCs/>
          <w:sz w:val="28"/>
          <w:szCs w:val="28"/>
        </w:rPr>
      </w:pPr>
      <w:r w:rsidRPr="00CF1E36">
        <w:rPr>
          <w:rFonts w:ascii="Times New Roman" w:hAnsi="Times New Roman" w:cs="Times New Roman"/>
          <w:b/>
          <w:bCs/>
          <w:sz w:val="28"/>
          <w:szCs w:val="28"/>
        </w:rPr>
        <w:t>1.1 Case Citation &amp; Jurisdiction </w:t>
      </w:r>
    </w:p>
    <w:p w14:paraId="5AE155F9" w14:textId="77777777" w:rsidR="00CF1E36" w:rsidRPr="00CF1E36" w:rsidRDefault="00CF1E36" w:rsidP="00CE3B35">
      <w:pPr>
        <w:numPr>
          <w:ilvl w:val="0"/>
          <w:numId w:val="1"/>
        </w:numPr>
        <w:rPr>
          <w:rFonts w:ascii="Times New Roman" w:hAnsi="Times New Roman" w:cs="Times New Roman"/>
        </w:rPr>
      </w:pPr>
      <w:r w:rsidRPr="00CF1E36">
        <w:rPr>
          <w:rFonts w:ascii="Times New Roman" w:hAnsi="Times New Roman" w:cs="Times New Roman"/>
        </w:rPr>
        <w:t xml:space="preserve">Case Name: </w:t>
      </w:r>
      <w:proofErr w:type="spellStart"/>
      <w:r w:rsidRPr="00CF1E36">
        <w:rPr>
          <w:rFonts w:ascii="Times New Roman" w:hAnsi="Times New Roman" w:cs="Times New Roman"/>
        </w:rPr>
        <w:t>Mohori</w:t>
      </w:r>
      <w:proofErr w:type="spellEnd"/>
      <w:r w:rsidRPr="00CF1E36">
        <w:rPr>
          <w:rFonts w:ascii="Times New Roman" w:hAnsi="Times New Roman" w:cs="Times New Roman"/>
        </w:rPr>
        <w:t xml:space="preserve"> Bibee and another v </w:t>
      </w: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 (also spelt </w:t>
      </w:r>
      <w:proofErr w:type="spellStart"/>
      <w:r w:rsidRPr="00CF1E36">
        <w:rPr>
          <w:rFonts w:ascii="Times New Roman" w:hAnsi="Times New Roman" w:cs="Times New Roman"/>
        </w:rPr>
        <w:t>Mohori</w:t>
      </w:r>
      <w:proofErr w:type="spellEnd"/>
      <w:r w:rsidRPr="00CF1E36">
        <w:rPr>
          <w:rFonts w:ascii="Times New Roman" w:hAnsi="Times New Roman" w:cs="Times New Roman"/>
        </w:rPr>
        <w:t xml:space="preserve"> Bibi v </w:t>
      </w: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 </w:t>
      </w:r>
    </w:p>
    <w:p w14:paraId="11AC27EC" w14:textId="77777777" w:rsidR="00CF1E36" w:rsidRPr="00CF1E36" w:rsidRDefault="00CF1E36" w:rsidP="00CE3B35">
      <w:pPr>
        <w:numPr>
          <w:ilvl w:val="0"/>
          <w:numId w:val="2"/>
        </w:numPr>
        <w:rPr>
          <w:rFonts w:ascii="Times New Roman" w:hAnsi="Times New Roman" w:cs="Times New Roman"/>
        </w:rPr>
      </w:pPr>
      <w:r w:rsidRPr="00CF1E36">
        <w:rPr>
          <w:rFonts w:ascii="Times New Roman" w:hAnsi="Times New Roman" w:cs="Times New Roman"/>
        </w:rPr>
        <w:t>Citation: (1903) ILR 30 Cal 539 (PC); [1903] UKPC 12; (1903) LR 30 IA 114; AIR 1903 PC 1 </w:t>
      </w:r>
    </w:p>
    <w:p w14:paraId="148442E2" w14:textId="77777777" w:rsidR="00CF1E36" w:rsidRPr="00CF1E36" w:rsidRDefault="00CF1E36" w:rsidP="00CE3B35">
      <w:pPr>
        <w:numPr>
          <w:ilvl w:val="0"/>
          <w:numId w:val="3"/>
        </w:numPr>
        <w:rPr>
          <w:rFonts w:ascii="Times New Roman" w:hAnsi="Times New Roman" w:cs="Times New Roman"/>
        </w:rPr>
      </w:pPr>
      <w:r w:rsidRPr="00CF1E36">
        <w:rPr>
          <w:rFonts w:ascii="Times New Roman" w:hAnsi="Times New Roman" w:cs="Times New Roman"/>
        </w:rPr>
        <w:t>Court: Judicial Committee of the Privy Council, on appeal from the High Court of Judicature at Fort William, Calcutta </w:t>
      </w:r>
    </w:p>
    <w:p w14:paraId="310689C8" w14:textId="77777777" w:rsidR="00CF1E36" w:rsidRPr="00CF1E36" w:rsidRDefault="00CF1E36" w:rsidP="00CE3B35">
      <w:pPr>
        <w:numPr>
          <w:ilvl w:val="0"/>
          <w:numId w:val="4"/>
        </w:numPr>
        <w:rPr>
          <w:rFonts w:ascii="Times New Roman" w:hAnsi="Times New Roman" w:cs="Times New Roman"/>
        </w:rPr>
      </w:pPr>
      <w:r w:rsidRPr="00CF1E36">
        <w:rPr>
          <w:rFonts w:ascii="Times New Roman" w:hAnsi="Times New Roman" w:cs="Times New Roman"/>
        </w:rPr>
        <w:t>Bench: Lord Macnaghten, Lord Davey, Lord Lindley, Sir Ford North, Sir Andrew Scoble, and Sir Arthur Wilson; the opinion of the Board was delivered by Sir Ford North </w:t>
      </w:r>
    </w:p>
    <w:p w14:paraId="62E0818A" w14:textId="77777777" w:rsidR="00CF1E36" w:rsidRPr="00CF1E36" w:rsidRDefault="00CF1E36" w:rsidP="00CE3B35">
      <w:pPr>
        <w:numPr>
          <w:ilvl w:val="0"/>
          <w:numId w:val="5"/>
        </w:numPr>
        <w:rPr>
          <w:rFonts w:ascii="Times New Roman" w:hAnsi="Times New Roman" w:cs="Times New Roman"/>
        </w:rPr>
      </w:pPr>
      <w:r w:rsidRPr="00CF1E36">
        <w:rPr>
          <w:rFonts w:ascii="Times New Roman" w:hAnsi="Times New Roman" w:cs="Times New Roman"/>
        </w:rPr>
        <w:t>Date of Judgment: 4 March 1903 </w:t>
      </w:r>
    </w:p>
    <w:p w14:paraId="59D67AB3" w14:textId="77777777" w:rsidR="00CF1E36" w:rsidRPr="00CF1E36" w:rsidRDefault="00CF1E36" w:rsidP="00CE3B35">
      <w:pPr>
        <w:numPr>
          <w:ilvl w:val="0"/>
          <w:numId w:val="6"/>
        </w:numPr>
        <w:rPr>
          <w:rFonts w:ascii="Times New Roman" w:hAnsi="Times New Roman" w:cs="Times New Roman"/>
        </w:rPr>
      </w:pPr>
      <w:r w:rsidRPr="00CF1E36">
        <w:rPr>
          <w:rFonts w:ascii="Times New Roman" w:hAnsi="Times New Roman" w:cs="Times New Roman"/>
        </w:rPr>
        <w:t xml:space="preserve">Prior Courts: The Court of First Instance at Calcutta held the mortgage void and decreed in favour of </w:t>
      </w: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 on appeal, the High Court of Judicature at Fort William affirmed that decision. Brahmo Dutt (the moneylender) died while the matter was pending, and the further appeal to the Privy Council was pursued by his executors, of whom </w:t>
      </w:r>
      <w:proofErr w:type="spellStart"/>
      <w:r w:rsidRPr="00CF1E36">
        <w:rPr>
          <w:rFonts w:ascii="Times New Roman" w:hAnsi="Times New Roman" w:cs="Times New Roman"/>
        </w:rPr>
        <w:t>Mohori</w:t>
      </w:r>
      <w:proofErr w:type="spellEnd"/>
      <w:r w:rsidRPr="00CF1E36">
        <w:rPr>
          <w:rFonts w:ascii="Times New Roman" w:hAnsi="Times New Roman" w:cs="Times New Roman"/>
        </w:rPr>
        <w:t xml:space="preserve"> Bibee was one. </w:t>
      </w:r>
    </w:p>
    <w:p w14:paraId="142E10A1" w14:textId="77777777" w:rsidR="00CF1E36" w:rsidRPr="00CF1E36" w:rsidRDefault="00CF1E36" w:rsidP="00CE3B35">
      <w:pPr>
        <w:numPr>
          <w:ilvl w:val="0"/>
          <w:numId w:val="7"/>
        </w:numPr>
        <w:rPr>
          <w:rFonts w:ascii="Times New Roman" w:hAnsi="Times New Roman" w:cs="Times New Roman"/>
        </w:rPr>
      </w:pPr>
      <w:r w:rsidRPr="00CF1E36">
        <w:rPr>
          <w:rFonts w:ascii="Times New Roman" w:hAnsi="Times New Roman" w:cs="Times New Roman"/>
        </w:rPr>
        <w:t xml:space="preserve">Parties: The appellants — </w:t>
      </w:r>
      <w:proofErr w:type="spellStart"/>
      <w:r w:rsidRPr="00CF1E36">
        <w:rPr>
          <w:rFonts w:ascii="Times New Roman" w:hAnsi="Times New Roman" w:cs="Times New Roman"/>
        </w:rPr>
        <w:t>Mohori</w:t>
      </w:r>
      <w:proofErr w:type="spellEnd"/>
      <w:r w:rsidRPr="00CF1E36">
        <w:rPr>
          <w:rFonts w:ascii="Times New Roman" w:hAnsi="Times New Roman" w:cs="Times New Roman"/>
        </w:rPr>
        <w:t xml:space="preserve"> Bibee and the other executors/representatives of the deceased moneylender Brahmo Dutt — sought to enforce the mortgage or, alternatively, recover the money advanced; the respondent, </w:t>
      </w: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 sought a declaration that the mortgage was void on account of his minority. </w:t>
      </w:r>
    </w:p>
    <w:p w14:paraId="46409DAC" w14:textId="77777777" w:rsidR="00CF1E36" w:rsidRPr="00CF1E36" w:rsidRDefault="00CF1E36" w:rsidP="00CF1E36">
      <w:pPr>
        <w:rPr>
          <w:rFonts w:ascii="Times New Roman" w:hAnsi="Times New Roman" w:cs="Times New Roman"/>
          <w:b/>
          <w:bCs/>
          <w:sz w:val="28"/>
          <w:szCs w:val="28"/>
        </w:rPr>
      </w:pPr>
      <w:r w:rsidRPr="00CF1E36">
        <w:rPr>
          <w:rFonts w:ascii="Times New Roman" w:hAnsi="Times New Roman" w:cs="Times New Roman"/>
          <w:b/>
          <w:bCs/>
          <w:sz w:val="28"/>
          <w:szCs w:val="28"/>
        </w:rPr>
        <w:t>1.2 Brief Introduction to the Case </w:t>
      </w:r>
    </w:p>
    <w:p w14:paraId="35BB8341" w14:textId="77777777" w:rsidR="007730C3" w:rsidRDefault="00CF1E36" w:rsidP="00CF1E36">
      <w:pPr>
        <w:rPr>
          <w:rFonts w:ascii="Times New Roman" w:hAnsi="Times New Roman" w:cs="Times New Roman"/>
        </w:rPr>
      </w:pPr>
      <w:proofErr w:type="spellStart"/>
      <w:r w:rsidRPr="00CF1E36">
        <w:rPr>
          <w:rFonts w:ascii="Times New Roman" w:hAnsi="Times New Roman" w:cs="Times New Roman"/>
        </w:rPr>
        <w:t>Mohori</w:t>
      </w:r>
      <w:proofErr w:type="spellEnd"/>
      <w:r w:rsidRPr="00CF1E36">
        <w:rPr>
          <w:rFonts w:ascii="Times New Roman" w:hAnsi="Times New Roman" w:cs="Times New Roman"/>
        </w:rPr>
        <w:t xml:space="preserve"> Bibee v </w:t>
      </w: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 is the foundational Indian authority on the capacity of minors to contract and is almost invariably the first case encountered by students of the Indian Contract Act, 1872. The dispute arose out of a mortgage executed by </w:t>
      </w: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 a minor, in favour of Brahmo Dutt, a Calcutta moneylender, to secure a loan of Rs 20,000. </w:t>
      </w:r>
    </w:p>
    <w:p w14:paraId="37ED9744" w14:textId="0778860E" w:rsidR="00CF1E36" w:rsidRPr="00CF1E36" w:rsidRDefault="00CF1E36" w:rsidP="00CF1E36">
      <w:pPr>
        <w:rPr>
          <w:rFonts w:ascii="Times New Roman" w:hAnsi="Times New Roman" w:cs="Times New Roman"/>
        </w:rPr>
      </w:pPr>
      <w:r w:rsidRPr="00CF1E36">
        <w:rPr>
          <w:rFonts w:ascii="Times New Roman" w:hAnsi="Times New Roman" w:cs="Times New Roman"/>
        </w:rPr>
        <w:t xml:space="preserve">Although the moneylender's own attorney had received clear written notice of the mortgagor's minority before the transaction was completed, the mortgage was executed regardless. On attaining majority, </w:t>
      </w: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 sued to have the mortgage declared void and the deed cancelled. </w:t>
      </w:r>
    </w:p>
    <w:p w14:paraId="28DC1341" w14:textId="77777777" w:rsidR="007730C3" w:rsidRDefault="00CF1E36" w:rsidP="00CF1E36">
      <w:pPr>
        <w:rPr>
          <w:rFonts w:ascii="Times New Roman" w:hAnsi="Times New Roman" w:cs="Times New Roman"/>
        </w:rPr>
      </w:pPr>
      <w:r w:rsidRPr="00CF1E36">
        <w:rPr>
          <w:rFonts w:ascii="Times New Roman" w:hAnsi="Times New Roman" w:cs="Times New Roman"/>
        </w:rPr>
        <w:t xml:space="preserve">At its core, the case asks a foundational question: what is the legal status of an agreement entered into by a person who, under Section 11 of the Indian Contract Act, 1872, lacks the capacity to contract? The Privy Council's answer — that such an agreement is void ab initio, and not merely voidable at the minor's option — settled a controversy that had divided the Indian High Courts and continues to define the law of capacity across Indian contract law. </w:t>
      </w:r>
    </w:p>
    <w:p w14:paraId="30D0E5FE" w14:textId="75A728FB" w:rsidR="00CF1E36" w:rsidRDefault="00CF1E36" w:rsidP="00CF1E36">
      <w:pPr>
        <w:rPr>
          <w:rFonts w:ascii="Times New Roman" w:hAnsi="Times New Roman" w:cs="Times New Roman"/>
        </w:rPr>
      </w:pPr>
      <w:r w:rsidRPr="00CF1E36">
        <w:rPr>
          <w:rFonts w:ascii="Times New Roman" w:hAnsi="Times New Roman" w:cs="Times New Roman"/>
        </w:rPr>
        <w:lastRenderedPageBreak/>
        <w:t>The judgment remains significant not only for its treatment of minority as a bar to contractual liability, but also for its analysis of estoppel, restitution, and the limits of equitable relief against a person incapable in law of contracting. </w:t>
      </w:r>
    </w:p>
    <w:p w14:paraId="0797C4F0" w14:textId="77777777" w:rsidR="007730C3" w:rsidRPr="00CF1E36" w:rsidRDefault="007730C3" w:rsidP="00CF1E36">
      <w:pPr>
        <w:rPr>
          <w:rFonts w:ascii="Times New Roman" w:hAnsi="Times New Roman" w:cs="Times New Roman"/>
        </w:rPr>
      </w:pPr>
    </w:p>
    <w:p w14:paraId="59141664" w14:textId="77777777" w:rsidR="00CF1E36" w:rsidRPr="00CF1E36" w:rsidRDefault="00CF1E36" w:rsidP="00CF1E36">
      <w:pPr>
        <w:rPr>
          <w:rFonts w:ascii="Times New Roman" w:hAnsi="Times New Roman" w:cs="Times New Roman"/>
          <w:b/>
          <w:bCs/>
          <w:sz w:val="28"/>
          <w:szCs w:val="28"/>
        </w:rPr>
      </w:pPr>
      <w:r w:rsidRPr="00CF1E36">
        <w:rPr>
          <w:rFonts w:ascii="Times New Roman" w:hAnsi="Times New Roman" w:cs="Times New Roman"/>
          <w:b/>
          <w:bCs/>
          <w:sz w:val="28"/>
          <w:szCs w:val="28"/>
        </w:rPr>
        <w:t>2. Facts of the Case </w:t>
      </w:r>
    </w:p>
    <w:p w14:paraId="72ABE15A" w14:textId="77777777" w:rsidR="00CF1E36" w:rsidRPr="00CF1E36" w:rsidRDefault="00CF1E36" w:rsidP="00CF1E36">
      <w:pPr>
        <w:rPr>
          <w:rFonts w:ascii="Times New Roman" w:hAnsi="Times New Roman" w:cs="Times New Roman"/>
          <w:b/>
          <w:bCs/>
          <w:sz w:val="28"/>
          <w:szCs w:val="28"/>
        </w:rPr>
      </w:pPr>
      <w:r w:rsidRPr="00CF1E36">
        <w:rPr>
          <w:rFonts w:ascii="Times New Roman" w:hAnsi="Times New Roman" w:cs="Times New Roman"/>
          <w:b/>
          <w:bCs/>
          <w:sz w:val="28"/>
          <w:szCs w:val="28"/>
        </w:rPr>
        <w:t>2.1 Chronological Summary of Events </w:t>
      </w:r>
    </w:p>
    <w:p w14:paraId="46F13088" w14:textId="77777777" w:rsidR="00CF1E36" w:rsidRPr="00CF1E36" w:rsidRDefault="00CF1E36" w:rsidP="00CE3B35">
      <w:pPr>
        <w:numPr>
          <w:ilvl w:val="0"/>
          <w:numId w:val="8"/>
        </w:numPr>
        <w:rPr>
          <w:rFonts w:ascii="Times New Roman" w:hAnsi="Times New Roman" w:cs="Times New Roman"/>
        </w:rPr>
      </w:pP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 was a minor and the sole owner of certain immovable property in Calcutta. The management of his person and property had been placed, by the High Court under its Letters Patent, in the hands of his mother, Jogendra Nundini Dasi, as his legal guardian. </w:t>
      </w:r>
    </w:p>
    <w:p w14:paraId="2DDFAE8B" w14:textId="77777777" w:rsidR="00CF1E36" w:rsidRPr="00CF1E36" w:rsidRDefault="00CF1E36" w:rsidP="00CE3B35">
      <w:pPr>
        <w:numPr>
          <w:ilvl w:val="0"/>
          <w:numId w:val="9"/>
        </w:numPr>
        <w:rPr>
          <w:rFonts w:ascii="Times New Roman" w:hAnsi="Times New Roman" w:cs="Times New Roman"/>
        </w:rPr>
      </w:pP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 approached Brahmo Dutt, a moneylender carrying on business in Calcutta and elsewhere, to raise a loan secured on his property. As Brahmo Dutt was absent from Calcutta throughout the transaction, the negotiations were conducted entirely by his attorney, Kedar Nath Mitter, with the funds advanced through Brahmo Dutt's local manager, </w:t>
      </w:r>
      <w:proofErr w:type="spellStart"/>
      <w:r w:rsidRPr="00CF1E36">
        <w:rPr>
          <w:rFonts w:ascii="Times New Roman" w:hAnsi="Times New Roman" w:cs="Times New Roman"/>
        </w:rPr>
        <w:t>Dedraj</w:t>
      </w:r>
      <w:proofErr w:type="spellEnd"/>
      <w:r w:rsidRPr="00CF1E36">
        <w:rPr>
          <w:rFonts w:ascii="Times New Roman" w:hAnsi="Times New Roman" w:cs="Times New Roman"/>
        </w:rPr>
        <w:t>. </w:t>
      </w:r>
    </w:p>
    <w:p w14:paraId="7937DBDD" w14:textId="77777777" w:rsidR="00CF1E36" w:rsidRPr="00CF1E36" w:rsidRDefault="00CF1E36" w:rsidP="00CE3B35">
      <w:pPr>
        <w:numPr>
          <w:ilvl w:val="0"/>
          <w:numId w:val="10"/>
        </w:numPr>
        <w:rPr>
          <w:rFonts w:ascii="Times New Roman" w:hAnsi="Times New Roman" w:cs="Times New Roman"/>
        </w:rPr>
      </w:pPr>
      <w:r w:rsidRPr="00CF1E36">
        <w:rPr>
          <w:rFonts w:ascii="Times New Roman" w:hAnsi="Times New Roman" w:cs="Times New Roman"/>
        </w:rPr>
        <w:t xml:space="preserve">On 15 July 1895, while the transaction was still under consideration, an attorney acting for </w:t>
      </w: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Ghose's mother wrote to Kedar Nath Mitter expressly informing him that </w:t>
      </w: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 was still a minor, and cautioning that anyone lending him money would do so entirely at his own risk. The trial court and the appellate court both found, on the evidence, that Kedar Nath personally received this letter. </w:t>
      </w:r>
    </w:p>
    <w:p w14:paraId="6EFAB786" w14:textId="77777777" w:rsidR="00CF1E36" w:rsidRPr="00CF1E36" w:rsidRDefault="00CF1E36" w:rsidP="00CE3B35">
      <w:pPr>
        <w:numPr>
          <w:ilvl w:val="0"/>
          <w:numId w:val="11"/>
        </w:numPr>
        <w:rPr>
          <w:rFonts w:ascii="Times New Roman" w:hAnsi="Times New Roman" w:cs="Times New Roman"/>
        </w:rPr>
      </w:pPr>
      <w:r w:rsidRPr="00CF1E36">
        <w:rPr>
          <w:rFonts w:ascii="Times New Roman" w:hAnsi="Times New Roman" w:cs="Times New Roman"/>
        </w:rPr>
        <w:t xml:space="preserve">Notwithstanding this notice, on the day the mortgage was executed Kedar Nath had </w:t>
      </w: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 sign a prepared declaration falsely stating that he had attained majority, and that </w:t>
      </w:r>
      <w:proofErr w:type="spellStart"/>
      <w:r w:rsidRPr="00CF1E36">
        <w:rPr>
          <w:rFonts w:ascii="Times New Roman" w:hAnsi="Times New Roman" w:cs="Times New Roman"/>
        </w:rPr>
        <w:t>Dedraj</w:t>
      </w:r>
      <w:proofErr w:type="spellEnd"/>
      <w:r w:rsidRPr="00CF1E36">
        <w:rPr>
          <w:rFonts w:ascii="Times New Roman" w:hAnsi="Times New Roman" w:cs="Times New Roman"/>
        </w:rPr>
        <w:t xml:space="preserve"> and Brahmo Dutt were advancing the loan in reliance on that assurance. </w:t>
      </w:r>
    </w:p>
    <w:p w14:paraId="235F94D4" w14:textId="77777777" w:rsidR="00CF1E36" w:rsidRPr="00CF1E36" w:rsidRDefault="00CF1E36" w:rsidP="00CE3B35">
      <w:pPr>
        <w:numPr>
          <w:ilvl w:val="0"/>
          <w:numId w:val="12"/>
        </w:numPr>
        <w:rPr>
          <w:rFonts w:ascii="Times New Roman" w:hAnsi="Times New Roman" w:cs="Times New Roman"/>
        </w:rPr>
      </w:pPr>
      <w:r w:rsidRPr="00CF1E36">
        <w:rPr>
          <w:rFonts w:ascii="Times New Roman" w:hAnsi="Times New Roman" w:cs="Times New Roman"/>
        </w:rPr>
        <w:t xml:space="preserve">On 20 July 1895, </w:t>
      </w: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 executed a mortgage deed in favour of Brahmo Dutt to secure repayment of Rs 20,000 at 12 per cent interest, charged upon his houses. The sum actually disbursed to him was less than the full amount secured by the deed, and the precise figure was itself disputed between the parties at trial. </w:t>
      </w:r>
    </w:p>
    <w:p w14:paraId="24DD5A51" w14:textId="77777777" w:rsidR="00CF1E36" w:rsidRPr="00CF1E36" w:rsidRDefault="00CF1E36" w:rsidP="00CE3B35">
      <w:pPr>
        <w:numPr>
          <w:ilvl w:val="0"/>
          <w:numId w:val="13"/>
        </w:numPr>
        <w:rPr>
          <w:rFonts w:ascii="Times New Roman" w:hAnsi="Times New Roman" w:cs="Times New Roman"/>
        </w:rPr>
      </w:pP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 attained the age of majority (21 years, under the law then applicable to a minor with a court-appointed guardian) in September 1895, shortly after the mortgage was executed. </w:t>
      </w:r>
    </w:p>
    <w:p w14:paraId="5ADE8BF9" w14:textId="77777777" w:rsidR="00CF1E36" w:rsidRPr="00CF1E36" w:rsidRDefault="00CF1E36" w:rsidP="00CE3B35">
      <w:pPr>
        <w:numPr>
          <w:ilvl w:val="0"/>
          <w:numId w:val="14"/>
        </w:numPr>
        <w:rPr>
          <w:rFonts w:ascii="Times New Roman" w:hAnsi="Times New Roman" w:cs="Times New Roman"/>
        </w:rPr>
      </w:pPr>
      <w:r w:rsidRPr="00CF1E36">
        <w:rPr>
          <w:rFonts w:ascii="Times New Roman" w:hAnsi="Times New Roman" w:cs="Times New Roman"/>
        </w:rPr>
        <w:t xml:space="preserve">On 10 September 1895, </w:t>
      </w: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 acting through his mother, instituted a suit against Brahmo Dutt seeking a declaration that the mortgage executed during his minority was void and should be cancelled, and that the deed and any transfer made under it be set aside. </w:t>
      </w:r>
    </w:p>
    <w:p w14:paraId="26ACB24A" w14:textId="77777777" w:rsidR="00CF1E36" w:rsidRPr="00CF1E36" w:rsidRDefault="00CF1E36" w:rsidP="00CE3B35">
      <w:pPr>
        <w:numPr>
          <w:ilvl w:val="0"/>
          <w:numId w:val="15"/>
        </w:numPr>
        <w:rPr>
          <w:rFonts w:ascii="Times New Roman" w:hAnsi="Times New Roman" w:cs="Times New Roman"/>
        </w:rPr>
      </w:pPr>
      <w:r w:rsidRPr="00CF1E36">
        <w:rPr>
          <w:rFonts w:ascii="Times New Roman" w:hAnsi="Times New Roman" w:cs="Times New Roman"/>
        </w:rPr>
        <w:lastRenderedPageBreak/>
        <w:t xml:space="preserve">The moneylender's side contended, in defence, that </w:t>
      </w: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 had fraudulently misrepresented his age, that he was therefore estopped under Section 115 of the Indian Evidence Act, 1872 from asserting his minority, and that, in any event, he ought to be ordered to repay the amount actually advanced as a condition of any relief. </w:t>
      </w:r>
    </w:p>
    <w:p w14:paraId="4A408AC3" w14:textId="77777777" w:rsidR="00CF1E36" w:rsidRPr="00CF1E36" w:rsidRDefault="00CF1E36" w:rsidP="00CE3B35">
      <w:pPr>
        <w:numPr>
          <w:ilvl w:val="0"/>
          <w:numId w:val="16"/>
        </w:numPr>
        <w:rPr>
          <w:rFonts w:ascii="Times New Roman" w:hAnsi="Times New Roman" w:cs="Times New Roman"/>
        </w:rPr>
      </w:pPr>
      <w:r w:rsidRPr="00CF1E36">
        <w:rPr>
          <w:rFonts w:ascii="Times New Roman" w:hAnsi="Times New Roman" w:cs="Times New Roman"/>
        </w:rPr>
        <w:t xml:space="preserve">The Court of First Instance at Calcutta held the mortgage void on the ground of </w:t>
      </w: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Ghose's minority and granted him relief. Brahmo Dutt appealed to the High Court of Judicature at Fort William, which dismissed the appeal and affirmed the decision below. </w:t>
      </w:r>
    </w:p>
    <w:p w14:paraId="2918386D" w14:textId="77777777" w:rsidR="00CF1E36" w:rsidRPr="00CF1E36" w:rsidRDefault="00CF1E36" w:rsidP="00CE3B35">
      <w:pPr>
        <w:numPr>
          <w:ilvl w:val="0"/>
          <w:numId w:val="17"/>
        </w:numPr>
        <w:rPr>
          <w:rFonts w:ascii="Times New Roman" w:hAnsi="Times New Roman" w:cs="Times New Roman"/>
        </w:rPr>
      </w:pPr>
      <w:r w:rsidRPr="00CF1E36">
        <w:rPr>
          <w:rFonts w:ascii="Times New Roman" w:hAnsi="Times New Roman" w:cs="Times New Roman"/>
        </w:rPr>
        <w:t xml:space="preserve">While the matter was pending further appeal, Brahmo Dutt died, and the appeal to the Judicial Committee of the Privy Council was carried on by his executors, including </w:t>
      </w:r>
      <w:proofErr w:type="spellStart"/>
      <w:r w:rsidRPr="00CF1E36">
        <w:rPr>
          <w:rFonts w:ascii="Times New Roman" w:hAnsi="Times New Roman" w:cs="Times New Roman"/>
        </w:rPr>
        <w:t>Mohori</w:t>
      </w:r>
      <w:proofErr w:type="spellEnd"/>
      <w:r w:rsidRPr="00CF1E36">
        <w:rPr>
          <w:rFonts w:ascii="Times New Roman" w:hAnsi="Times New Roman" w:cs="Times New Roman"/>
        </w:rPr>
        <w:t xml:space="preserve"> Bibee. </w:t>
      </w:r>
    </w:p>
    <w:p w14:paraId="2139826B" w14:textId="77777777" w:rsidR="00CF1E36" w:rsidRPr="00CF1E36" w:rsidRDefault="00CF1E36" w:rsidP="00CE3B35">
      <w:pPr>
        <w:numPr>
          <w:ilvl w:val="0"/>
          <w:numId w:val="18"/>
        </w:numPr>
        <w:rPr>
          <w:rFonts w:ascii="Times New Roman" w:hAnsi="Times New Roman" w:cs="Times New Roman"/>
        </w:rPr>
      </w:pPr>
      <w:r w:rsidRPr="00CF1E36">
        <w:rPr>
          <w:rFonts w:ascii="Times New Roman" w:hAnsi="Times New Roman" w:cs="Times New Roman"/>
        </w:rPr>
        <w:t xml:space="preserve">On 4 March 1903, the Privy Council dismissed the appeal, holding that the mortgage was void ab initio and that </w:t>
      </w: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 could not be compelled to repay the sums advanced or to make any restitution to the appellants. </w:t>
      </w:r>
    </w:p>
    <w:p w14:paraId="364D0E06" w14:textId="77777777" w:rsidR="00CF1E36" w:rsidRPr="00CF1E36" w:rsidRDefault="00CF1E36" w:rsidP="00CF1E36">
      <w:pPr>
        <w:rPr>
          <w:rFonts w:ascii="Times New Roman" w:hAnsi="Times New Roman" w:cs="Times New Roman"/>
          <w:b/>
          <w:bCs/>
          <w:sz w:val="28"/>
          <w:szCs w:val="28"/>
        </w:rPr>
      </w:pPr>
      <w:r w:rsidRPr="00CF1E36">
        <w:rPr>
          <w:rFonts w:ascii="Times New Roman" w:hAnsi="Times New Roman" w:cs="Times New Roman"/>
          <w:b/>
          <w:bCs/>
          <w:sz w:val="28"/>
          <w:szCs w:val="28"/>
        </w:rPr>
        <w:t>2.2 Underlying Legal and Social Context </w:t>
      </w:r>
    </w:p>
    <w:p w14:paraId="451FDD23" w14:textId="77777777" w:rsidR="00CF1E36" w:rsidRPr="00CF1E36" w:rsidRDefault="00CF1E36" w:rsidP="00CE3B35">
      <w:pPr>
        <w:numPr>
          <w:ilvl w:val="0"/>
          <w:numId w:val="19"/>
        </w:numPr>
        <w:rPr>
          <w:rFonts w:ascii="Times New Roman" w:hAnsi="Times New Roman" w:cs="Times New Roman"/>
        </w:rPr>
      </w:pPr>
      <w:r w:rsidRPr="00CF1E36">
        <w:rPr>
          <w:rFonts w:ascii="Times New Roman" w:hAnsi="Times New Roman" w:cs="Times New Roman"/>
        </w:rPr>
        <w:t>The transaction arose within the moneylending trade of late-nineteenth-century Calcutta, in which loans were frequently secured against immovable property by mortgage, often through intermediaries and local managers acting for an absent principal. </w:t>
      </w:r>
    </w:p>
    <w:p w14:paraId="72736333" w14:textId="77777777" w:rsidR="00CF1E36" w:rsidRPr="00CF1E36" w:rsidRDefault="00CF1E36" w:rsidP="00CE3B35">
      <w:pPr>
        <w:numPr>
          <w:ilvl w:val="0"/>
          <w:numId w:val="20"/>
        </w:numPr>
        <w:rPr>
          <w:rFonts w:ascii="Times New Roman" w:hAnsi="Times New Roman" w:cs="Times New Roman"/>
        </w:rPr>
      </w:pPr>
      <w:r w:rsidRPr="00CF1E36">
        <w:rPr>
          <w:rFonts w:ascii="Times New Roman" w:hAnsi="Times New Roman" w:cs="Times New Roman"/>
        </w:rPr>
        <w:t>Section 11 of the Indian Contract Act, 1872 provided that every person is competent to contract who is of the age of majority, of sound mind, and not otherwise disqualified from contracting by any law to which he is subject; the age of majority itself was, and remains, governed by the Indian Majority Act, 1875. </w:t>
      </w:r>
    </w:p>
    <w:p w14:paraId="4FB19369" w14:textId="77777777" w:rsidR="00CF1E36" w:rsidRPr="00CF1E36" w:rsidRDefault="00CF1E36" w:rsidP="00CE3B35">
      <w:pPr>
        <w:numPr>
          <w:ilvl w:val="0"/>
          <w:numId w:val="21"/>
        </w:numPr>
        <w:rPr>
          <w:rFonts w:ascii="Times New Roman" w:hAnsi="Times New Roman" w:cs="Times New Roman"/>
        </w:rPr>
      </w:pPr>
      <w:r w:rsidRPr="00CF1E36">
        <w:rPr>
          <w:rFonts w:ascii="Times New Roman" w:hAnsi="Times New Roman" w:cs="Times New Roman"/>
        </w:rPr>
        <w:t>Before this case, Indian courts were divided on the consequence of an agreement made by a minor: some treated such agreements as merely voidable at the minor's option (following certain English analogies), while others treated them as void from the outset. This uncertainty made the position of moneylenders, purchasers, and other parties dealing with minors commercially precarious. </w:t>
      </w:r>
    </w:p>
    <w:p w14:paraId="6A7114F5" w14:textId="77777777" w:rsidR="00CF1E36" w:rsidRPr="00CF1E36" w:rsidRDefault="00CF1E36" w:rsidP="00CE3B35">
      <w:pPr>
        <w:numPr>
          <w:ilvl w:val="0"/>
          <w:numId w:val="22"/>
        </w:numPr>
        <w:rPr>
          <w:rFonts w:ascii="Times New Roman" w:hAnsi="Times New Roman" w:cs="Times New Roman"/>
        </w:rPr>
      </w:pPr>
      <w:r w:rsidRPr="00CF1E36">
        <w:rPr>
          <w:rFonts w:ascii="Times New Roman" w:hAnsi="Times New Roman" w:cs="Times New Roman"/>
        </w:rPr>
        <w:t>The presence of a court-appointed guardian, and the guardian's written notice of minority delivered directly to the lender's own attorney before the money was advanced, made this a particularly stark test case: the lender's side could not credibly claim to have been misled by circumstances beyond its knowledge or control. </w:t>
      </w:r>
    </w:p>
    <w:p w14:paraId="0F3DF7D6" w14:textId="77777777" w:rsidR="00CF1E36" w:rsidRDefault="00CF1E36" w:rsidP="00CE3B35">
      <w:pPr>
        <w:numPr>
          <w:ilvl w:val="0"/>
          <w:numId w:val="23"/>
        </w:numPr>
        <w:rPr>
          <w:rFonts w:ascii="Times New Roman" w:hAnsi="Times New Roman" w:cs="Times New Roman"/>
        </w:rPr>
      </w:pPr>
      <w:r w:rsidRPr="00CF1E36">
        <w:rPr>
          <w:rFonts w:ascii="Times New Roman" w:hAnsi="Times New Roman" w:cs="Times New Roman"/>
        </w:rPr>
        <w:t>This is precisely the structural setting that gives the case its doctrinal significance: a knowing advance of money to a person incapable in law of contracting, followed by an attempt to use equitable doctrines — estoppel and restitution — to achieve indirectly what could not be achieved directly under the Contract Act. </w:t>
      </w:r>
    </w:p>
    <w:p w14:paraId="743A626D" w14:textId="77777777" w:rsidR="007730C3" w:rsidRPr="00CF1E36" w:rsidRDefault="007730C3" w:rsidP="007730C3">
      <w:pPr>
        <w:rPr>
          <w:rFonts w:ascii="Times New Roman" w:hAnsi="Times New Roman" w:cs="Times New Roman"/>
        </w:rPr>
      </w:pPr>
    </w:p>
    <w:p w14:paraId="575997BF" w14:textId="77777777" w:rsidR="00CF1E36" w:rsidRPr="00CF1E36" w:rsidRDefault="00CF1E36" w:rsidP="00CF1E36">
      <w:pPr>
        <w:rPr>
          <w:rFonts w:ascii="Times New Roman" w:hAnsi="Times New Roman" w:cs="Times New Roman"/>
          <w:b/>
          <w:bCs/>
          <w:sz w:val="28"/>
          <w:szCs w:val="28"/>
        </w:rPr>
      </w:pPr>
      <w:r w:rsidRPr="00CF1E36">
        <w:rPr>
          <w:rFonts w:ascii="Times New Roman" w:hAnsi="Times New Roman" w:cs="Times New Roman"/>
          <w:b/>
          <w:bCs/>
          <w:sz w:val="28"/>
          <w:szCs w:val="28"/>
        </w:rPr>
        <w:lastRenderedPageBreak/>
        <w:t>3. Legal Issue </w:t>
      </w:r>
    </w:p>
    <w:p w14:paraId="231F4D69" w14:textId="77777777" w:rsidR="00CF1E36" w:rsidRPr="00CF1E36" w:rsidRDefault="00CF1E36" w:rsidP="00CF1E36">
      <w:pPr>
        <w:rPr>
          <w:rFonts w:ascii="Times New Roman" w:hAnsi="Times New Roman" w:cs="Times New Roman"/>
          <w:b/>
          <w:bCs/>
          <w:sz w:val="28"/>
          <w:szCs w:val="28"/>
        </w:rPr>
      </w:pPr>
      <w:r w:rsidRPr="00CF1E36">
        <w:rPr>
          <w:rFonts w:ascii="Times New Roman" w:hAnsi="Times New Roman" w:cs="Times New Roman"/>
          <w:b/>
          <w:bCs/>
          <w:sz w:val="28"/>
          <w:szCs w:val="28"/>
        </w:rPr>
        <w:t>3.1 Primary Question of Law </w:t>
      </w:r>
    </w:p>
    <w:p w14:paraId="02E97284" w14:textId="77777777" w:rsidR="00CF1E36" w:rsidRPr="00CF1E36" w:rsidRDefault="00CF1E36" w:rsidP="00CF1E36">
      <w:pPr>
        <w:rPr>
          <w:rFonts w:ascii="Times New Roman" w:hAnsi="Times New Roman" w:cs="Times New Roman"/>
        </w:rPr>
      </w:pPr>
      <w:r w:rsidRPr="00CF1E36">
        <w:rPr>
          <w:rFonts w:ascii="Times New Roman" w:hAnsi="Times New Roman" w:cs="Times New Roman"/>
        </w:rPr>
        <w:t>Whether an agreement entered into by a person who has not attained the age of majority is void ab initio, or merely voidable at the option of the minor upon attaining majority — and, correspondingly, whether such a minor can be compelled, directly or through equitable doctrines such as estoppel or restitution, to repay money advanced or to compensate the other party under an agreement executed during minority. </w:t>
      </w:r>
    </w:p>
    <w:p w14:paraId="50DADC5D" w14:textId="77777777" w:rsidR="00CF1E36" w:rsidRPr="00CF1E36" w:rsidRDefault="00CF1E36" w:rsidP="00CF1E36">
      <w:pPr>
        <w:rPr>
          <w:rFonts w:ascii="Times New Roman" w:hAnsi="Times New Roman" w:cs="Times New Roman"/>
        </w:rPr>
      </w:pPr>
      <w:r w:rsidRPr="00CF1E36">
        <w:rPr>
          <w:rFonts w:ascii="Times New Roman" w:hAnsi="Times New Roman" w:cs="Times New Roman"/>
        </w:rPr>
        <w:t>This primary question resolved itself, before the Privy Council, into four distinct sub-issues: </w:t>
      </w:r>
    </w:p>
    <w:p w14:paraId="7744AE48" w14:textId="77777777" w:rsidR="00CF1E36" w:rsidRPr="00CF1E36" w:rsidRDefault="00CF1E36" w:rsidP="00CE3B35">
      <w:pPr>
        <w:numPr>
          <w:ilvl w:val="0"/>
          <w:numId w:val="24"/>
        </w:numPr>
        <w:rPr>
          <w:rFonts w:ascii="Times New Roman" w:hAnsi="Times New Roman" w:cs="Times New Roman"/>
        </w:rPr>
      </w:pPr>
      <w:r w:rsidRPr="00CF1E36">
        <w:rPr>
          <w:rFonts w:ascii="Times New Roman" w:hAnsi="Times New Roman" w:cs="Times New Roman"/>
        </w:rPr>
        <w:t xml:space="preserve">Whether the mortgage deed executed by </w:t>
      </w: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 a minor, was void under Sections 10 and 11 of the Indian Contract Act, 1872, or merely voidable at his option. </w:t>
      </w:r>
    </w:p>
    <w:p w14:paraId="20DEF07A" w14:textId="77777777" w:rsidR="00CF1E36" w:rsidRPr="00CF1E36" w:rsidRDefault="00CF1E36" w:rsidP="00CE3B35">
      <w:pPr>
        <w:numPr>
          <w:ilvl w:val="0"/>
          <w:numId w:val="25"/>
        </w:numPr>
        <w:rPr>
          <w:rFonts w:ascii="Times New Roman" w:hAnsi="Times New Roman" w:cs="Times New Roman"/>
        </w:rPr>
      </w:pPr>
      <w:r w:rsidRPr="00CF1E36">
        <w:rPr>
          <w:rFonts w:ascii="Times New Roman" w:hAnsi="Times New Roman" w:cs="Times New Roman"/>
        </w:rPr>
        <w:t xml:space="preserve">Whether </w:t>
      </w: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 was estopped, under Section 115 of the Indian Evidence Act, 1872, from asserting his minority, given his declaration at the time of the mortgage that he had attained majority. </w:t>
      </w:r>
    </w:p>
    <w:p w14:paraId="23BC3696" w14:textId="77777777" w:rsidR="00CF1E36" w:rsidRPr="00CF1E36" w:rsidRDefault="00CF1E36" w:rsidP="00CE3B35">
      <w:pPr>
        <w:numPr>
          <w:ilvl w:val="0"/>
          <w:numId w:val="26"/>
        </w:numPr>
        <w:rPr>
          <w:rFonts w:ascii="Times New Roman" w:hAnsi="Times New Roman" w:cs="Times New Roman"/>
        </w:rPr>
      </w:pPr>
      <w:r w:rsidRPr="00CF1E36">
        <w:rPr>
          <w:rFonts w:ascii="Times New Roman" w:hAnsi="Times New Roman" w:cs="Times New Roman"/>
        </w:rPr>
        <w:t xml:space="preserve">Whether Sections 64 and 65 of the Indian Contract Act, 1872 — which govern the restoration of benefits upon rescission or discovery that an agreement is void — obliged </w:t>
      </w: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 to repay the sum advanced. </w:t>
      </w:r>
    </w:p>
    <w:p w14:paraId="0686F02A" w14:textId="77777777" w:rsidR="00CF1E36" w:rsidRPr="00CF1E36" w:rsidRDefault="00CF1E36" w:rsidP="00CE3B35">
      <w:pPr>
        <w:numPr>
          <w:ilvl w:val="0"/>
          <w:numId w:val="27"/>
        </w:numPr>
        <w:rPr>
          <w:rFonts w:ascii="Times New Roman" w:hAnsi="Times New Roman" w:cs="Times New Roman"/>
        </w:rPr>
      </w:pPr>
      <w:r w:rsidRPr="00CF1E36">
        <w:rPr>
          <w:rFonts w:ascii="Times New Roman" w:hAnsi="Times New Roman" w:cs="Times New Roman"/>
        </w:rPr>
        <w:t xml:space="preserve">Whether, independently of the Contract Act, the equitable jurisdiction reflected in Section 41 of the Specific Relief Act, 1877 could be invoked to require </w:t>
      </w: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 to repay the moneylender as a condition of cancelling the mortgage. </w:t>
      </w:r>
    </w:p>
    <w:p w14:paraId="01B81C4E" w14:textId="77777777" w:rsidR="00CF1E36" w:rsidRPr="00CF1E36" w:rsidRDefault="00CF1E36" w:rsidP="00CF1E36">
      <w:pPr>
        <w:rPr>
          <w:rFonts w:ascii="Times New Roman" w:hAnsi="Times New Roman" w:cs="Times New Roman"/>
          <w:b/>
          <w:bCs/>
          <w:sz w:val="28"/>
          <w:szCs w:val="28"/>
        </w:rPr>
      </w:pPr>
      <w:r w:rsidRPr="00CF1E36">
        <w:rPr>
          <w:rFonts w:ascii="Times New Roman" w:hAnsi="Times New Roman" w:cs="Times New Roman"/>
          <w:b/>
          <w:bCs/>
          <w:sz w:val="28"/>
          <w:szCs w:val="28"/>
        </w:rPr>
        <w:t>3.2 Points of Contention </w:t>
      </w:r>
    </w:p>
    <w:p w14:paraId="0F2293C9" w14:textId="77777777" w:rsidR="00CF1E36" w:rsidRPr="00CF1E36" w:rsidRDefault="00CF1E36" w:rsidP="00CE3B35">
      <w:pPr>
        <w:numPr>
          <w:ilvl w:val="0"/>
          <w:numId w:val="28"/>
        </w:numPr>
        <w:rPr>
          <w:rFonts w:ascii="Times New Roman" w:hAnsi="Times New Roman" w:cs="Times New Roman"/>
        </w:rPr>
      </w:pPr>
      <w:r w:rsidRPr="00CF1E36">
        <w:rPr>
          <w:rFonts w:ascii="Times New Roman" w:hAnsi="Times New Roman" w:cs="Times New Roman"/>
        </w:rPr>
        <w:t xml:space="preserve">The appellants contended that </w:t>
      </w: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 had fraudulently represented himself as a major, that this representation induced the loan, and that he should therefore either be held to the contract or, at minimum, be estopped from denying his majority. </w:t>
      </w:r>
    </w:p>
    <w:p w14:paraId="3C8C4962" w14:textId="77777777" w:rsidR="00CF1E36" w:rsidRPr="00CF1E36" w:rsidRDefault="00CF1E36" w:rsidP="00CE3B35">
      <w:pPr>
        <w:numPr>
          <w:ilvl w:val="0"/>
          <w:numId w:val="29"/>
        </w:numPr>
        <w:rPr>
          <w:rFonts w:ascii="Times New Roman" w:hAnsi="Times New Roman" w:cs="Times New Roman"/>
        </w:rPr>
      </w:pPr>
      <w:r w:rsidRPr="00CF1E36">
        <w:rPr>
          <w:rFonts w:ascii="Times New Roman" w:hAnsi="Times New Roman" w:cs="Times New Roman"/>
        </w:rPr>
        <w:t>The respondent contended that a minor's incapacity to contract is a matter of status fixed by statute, that no representation by the minor himself can cure that incapacity, and that a party dealing with a minor with actual notice of minority cannot later invoke equity to recover what the law itself forbids him from claiming. </w:t>
      </w:r>
    </w:p>
    <w:p w14:paraId="6CE80A64" w14:textId="77777777" w:rsidR="00CF1E36" w:rsidRPr="00CF1E36" w:rsidRDefault="00CF1E36" w:rsidP="00CF1E36">
      <w:pPr>
        <w:rPr>
          <w:rFonts w:ascii="Times New Roman" w:hAnsi="Times New Roman" w:cs="Times New Roman"/>
          <w:b/>
          <w:bCs/>
          <w:sz w:val="28"/>
          <w:szCs w:val="28"/>
        </w:rPr>
      </w:pPr>
      <w:r w:rsidRPr="00CF1E36">
        <w:rPr>
          <w:rFonts w:ascii="Times New Roman" w:hAnsi="Times New Roman" w:cs="Times New Roman"/>
          <w:b/>
          <w:bCs/>
          <w:sz w:val="28"/>
          <w:szCs w:val="28"/>
        </w:rPr>
        <w:t>4. Judgment </w:t>
      </w:r>
    </w:p>
    <w:p w14:paraId="1CE39DB5" w14:textId="77777777" w:rsidR="00CF1E36" w:rsidRPr="00CF1E36" w:rsidRDefault="00CF1E36" w:rsidP="00CF1E36">
      <w:pPr>
        <w:rPr>
          <w:rFonts w:ascii="Times New Roman" w:hAnsi="Times New Roman" w:cs="Times New Roman"/>
          <w:b/>
          <w:bCs/>
          <w:sz w:val="28"/>
          <w:szCs w:val="28"/>
        </w:rPr>
      </w:pPr>
      <w:r w:rsidRPr="00CF1E36">
        <w:rPr>
          <w:rFonts w:ascii="Times New Roman" w:hAnsi="Times New Roman" w:cs="Times New Roman"/>
          <w:b/>
          <w:bCs/>
          <w:sz w:val="28"/>
          <w:szCs w:val="28"/>
        </w:rPr>
        <w:t>4.1 Court's Decision </w:t>
      </w:r>
    </w:p>
    <w:p w14:paraId="6325FA80" w14:textId="77777777" w:rsidR="00CF1E36" w:rsidRPr="00CF1E36" w:rsidRDefault="00CF1E36" w:rsidP="00CF1E36">
      <w:pPr>
        <w:rPr>
          <w:rFonts w:ascii="Times New Roman" w:hAnsi="Times New Roman" w:cs="Times New Roman"/>
        </w:rPr>
      </w:pPr>
      <w:r w:rsidRPr="00CF1E36">
        <w:rPr>
          <w:rFonts w:ascii="Times New Roman" w:hAnsi="Times New Roman" w:cs="Times New Roman"/>
        </w:rPr>
        <w:t xml:space="preserve">The Judicial Committee of the Privy Council unanimously dismissed the appeal, affirming the concurrent findings of the Court of First Instance and the High Court of Judicature at Fort William in favour of </w:t>
      </w: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 The mortgage was declared void, the deed was ordered to be delivered up and cancelled, and — critically — </w:t>
      </w: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 was held under no obligation to repay any part of the sum advanced to him. The opinion of the Board was delivered by Sir Ford North, rejecting every argument advanced on behalf of the appellants. </w:t>
      </w:r>
    </w:p>
    <w:p w14:paraId="4307E0DC" w14:textId="77777777" w:rsidR="00CF1E36" w:rsidRPr="00CF1E36" w:rsidRDefault="00CF1E36" w:rsidP="00CF1E36">
      <w:pPr>
        <w:rPr>
          <w:rFonts w:ascii="Times New Roman" w:hAnsi="Times New Roman" w:cs="Times New Roman"/>
          <w:b/>
          <w:bCs/>
          <w:sz w:val="28"/>
          <w:szCs w:val="28"/>
        </w:rPr>
      </w:pPr>
      <w:r w:rsidRPr="00CF1E36">
        <w:rPr>
          <w:rFonts w:ascii="Times New Roman" w:hAnsi="Times New Roman" w:cs="Times New Roman"/>
          <w:b/>
          <w:bCs/>
          <w:sz w:val="28"/>
          <w:szCs w:val="28"/>
        </w:rPr>
        <w:lastRenderedPageBreak/>
        <w:t>4.2 Ratio Decidendi (Judicial Reasoning) </w:t>
      </w:r>
    </w:p>
    <w:p w14:paraId="204A2207" w14:textId="77777777" w:rsidR="00CF1E36" w:rsidRPr="00CF1E36" w:rsidRDefault="00CF1E36" w:rsidP="00CF1E36">
      <w:pPr>
        <w:rPr>
          <w:rFonts w:ascii="Times New Roman" w:hAnsi="Times New Roman" w:cs="Times New Roman"/>
        </w:rPr>
      </w:pPr>
      <w:r w:rsidRPr="00CF1E36">
        <w:rPr>
          <w:rFonts w:ascii="Times New Roman" w:hAnsi="Times New Roman" w:cs="Times New Roman"/>
        </w:rPr>
        <w:t>The reasoning of the Board rests on four closely connected propositions that together form the ratio decidendi of the case: </w:t>
      </w:r>
    </w:p>
    <w:p w14:paraId="570832AB" w14:textId="77777777" w:rsidR="00CF1E36" w:rsidRPr="00CF1E36" w:rsidRDefault="00CF1E36" w:rsidP="00CF1E36">
      <w:pPr>
        <w:rPr>
          <w:rFonts w:ascii="Times New Roman" w:hAnsi="Times New Roman" w:cs="Times New Roman"/>
        </w:rPr>
      </w:pPr>
      <w:r w:rsidRPr="00CF1E36">
        <w:rPr>
          <w:rFonts w:ascii="Times New Roman" w:hAnsi="Times New Roman" w:cs="Times New Roman"/>
        </w:rPr>
        <w:t>(</w:t>
      </w:r>
      <w:proofErr w:type="spellStart"/>
      <w:r w:rsidRPr="00CF1E36">
        <w:rPr>
          <w:rFonts w:ascii="Times New Roman" w:hAnsi="Times New Roman" w:cs="Times New Roman"/>
        </w:rPr>
        <w:t>i</w:t>
      </w:r>
      <w:proofErr w:type="spellEnd"/>
      <w:r w:rsidRPr="00CF1E36">
        <w:rPr>
          <w:rFonts w:ascii="Times New Roman" w:hAnsi="Times New Roman" w:cs="Times New Roman"/>
        </w:rPr>
        <w:t>) An agreement by a minor is void ab initio, not merely voidable. </w:t>
      </w:r>
    </w:p>
    <w:p w14:paraId="708CB8F0" w14:textId="77777777" w:rsidR="00CF1E36" w:rsidRPr="00CF1E36" w:rsidRDefault="00CF1E36" w:rsidP="00CE3B35">
      <w:pPr>
        <w:numPr>
          <w:ilvl w:val="0"/>
          <w:numId w:val="30"/>
        </w:numPr>
        <w:rPr>
          <w:rFonts w:ascii="Times New Roman" w:hAnsi="Times New Roman" w:cs="Times New Roman"/>
        </w:rPr>
      </w:pPr>
      <w:r w:rsidRPr="00CF1E36">
        <w:rPr>
          <w:rFonts w:ascii="Times New Roman" w:hAnsi="Times New Roman" w:cs="Times New Roman"/>
        </w:rPr>
        <w:t>Section 11 of the Indian Contract Act, 1872 declares that only a person who has attained majority, is of sound mind, and is not otherwise disqualified is competent to contract; a minor falls outside the class of persons competent to contract altogether. </w:t>
      </w:r>
    </w:p>
    <w:p w14:paraId="619FC1D3" w14:textId="77777777" w:rsidR="00CF1E36" w:rsidRPr="00CF1E36" w:rsidRDefault="00CF1E36" w:rsidP="00CE3B35">
      <w:pPr>
        <w:numPr>
          <w:ilvl w:val="0"/>
          <w:numId w:val="31"/>
        </w:numPr>
        <w:rPr>
          <w:rFonts w:ascii="Times New Roman" w:hAnsi="Times New Roman" w:cs="Times New Roman"/>
        </w:rPr>
      </w:pPr>
      <w:r w:rsidRPr="00CF1E36">
        <w:rPr>
          <w:rFonts w:ascii="Times New Roman" w:hAnsi="Times New Roman" w:cs="Times New Roman"/>
        </w:rPr>
        <w:t>Read together with Section 10 — which requires that an agreement be made by parties competent to contract in order to constitute a valid contract — the Board held that an agreement to which a minor is a party never rises to the level of a contract at all; there is, in law, no agreement capable of being enforced, avoided, or ratified. </w:t>
      </w:r>
    </w:p>
    <w:p w14:paraId="48DBB88F" w14:textId="77777777" w:rsidR="00CF1E36" w:rsidRPr="00CF1E36" w:rsidRDefault="00CF1E36" w:rsidP="00CE3B35">
      <w:pPr>
        <w:numPr>
          <w:ilvl w:val="0"/>
          <w:numId w:val="32"/>
        </w:numPr>
        <w:rPr>
          <w:rFonts w:ascii="Times New Roman" w:hAnsi="Times New Roman" w:cs="Times New Roman"/>
        </w:rPr>
      </w:pPr>
      <w:r w:rsidRPr="00CF1E36">
        <w:rPr>
          <w:rFonts w:ascii="Times New Roman" w:hAnsi="Times New Roman" w:cs="Times New Roman"/>
        </w:rPr>
        <w:t>The Board expressly rejected the analogy sometimes drawn from English case law treating certain minors' agreements as merely voidable, holding that the Indian Contract Act's language was clear and left no room for such a construction on Indian soil. </w:t>
      </w:r>
    </w:p>
    <w:p w14:paraId="304417EC" w14:textId="77777777" w:rsidR="00CF1E36" w:rsidRPr="00CF1E36" w:rsidRDefault="00CF1E36" w:rsidP="00CF1E36">
      <w:pPr>
        <w:rPr>
          <w:rFonts w:ascii="Times New Roman" w:hAnsi="Times New Roman" w:cs="Times New Roman"/>
        </w:rPr>
      </w:pPr>
      <w:r w:rsidRPr="00CF1E36">
        <w:rPr>
          <w:rFonts w:ascii="Times New Roman" w:hAnsi="Times New Roman" w:cs="Times New Roman"/>
        </w:rPr>
        <w:t>(ii) The doctrine of estoppel under Section 115 of the Indian Evidence Act does not apply against a minor who has misrepresented his age. </w:t>
      </w:r>
    </w:p>
    <w:p w14:paraId="3F5687A2" w14:textId="77777777" w:rsidR="00CF1E36" w:rsidRPr="00CF1E36" w:rsidRDefault="00CF1E36" w:rsidP="00CE3B35">
      <w:pPr>
        <w:numPr>
          <w:ilvl w:val="0"/>
          <w:numId w:val="33"/>
        </w:numPr>
        <w:rPr>
          <w:rFonts w:ascii="Times New Roman" w:hAnsi="Times New Roman" w:cs="Times New Roman"/>
        </w:rPr>
      </w:pPr>
      <w:r w:rsidRPr="00CF1E36">
        <w:rPr>
          <w:rFonts w:ascii="Times New Roman" w:hAnsi="Times New Roman" w:cs="Times New Roman"/>
        </w:rPr>
        <w:t xml:space="preserve">The Board held that the law of estoppel is intended to prevent a person from taking advantage of his own representation where another has been induced by it to alter his position — but here, the moneylender's own attorney knew, from the guardian's letter, that </w:t>
      </w: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 was a minor at the very time the declaration of majority was procured. </w:t>
      </w:r>
    </w:p>
    <w:p w14:paraId="759E35F4" w14:textId="77777777" w:rsidR="00CF1E36" w:rsidRPr="00CF1E36" w:rsidRDefault="00CF1E36" w:rsidP="00CE3B35">
      <w:pPr>
        <w:numPr>
          <w:ilvl w:val="0"/>
          <w:numId w:val="34"/>
        </w:numPr>
        <w:rPr>
          <w:rFonts w:ascii="Times New Roman" w:hAnsi="Times New Roman" w:cs="Times New Roman"/>
        </w:rPr>
      </w:pPr>
      <w:r w:rsidRPr="00CF1E36">
        <w:rPr>
          <w:rFonts w:ascii="Times New Roman" w:hAnsi="Times New Roman" w:cs="Times New Roman"/>
        </w:rPr>
        <w:t xml:space="preserve">Because the party seeking to invoke estoppel had actual knowledge of the true facts, no estoppel could arise: estoppel presupposes that the party pleading it was actually misled, and a false representation cannot </w:t>
      </w:r>
      <w:proofErr w:type="gramStart"/>
      <w:r w:rsidRPr="00CF1E36">
        <w:rPr>
          <w:rFonts w:ascii="Times New Roman" w:hAnsi="Times New Roman" w:cs="Times New Roman"/>
        </w:rPr>
        <w:t>found</w:t>
      </w:r>
      <w:proofErr w:type="gramEnd"/>
      <w:r w:rsidRPr="00CF1E36">
        <w:rPr>
          <w:rFonts w:ascii="Times New Roman" w:hAnsi="Times New Roman" w:cs="Times New Roman"/>
        </w:rPr>
        <w:t xml:space="preserve"> an estoppel against a party who knew, or through his agent knew, that the representation was untrue. </w:t>
      </w:r>
    </w:p>
    <w:p w14:paraId="5188C541" w14:textId="77777777" w:rsidR="00CF1E36" w:rsidRPr="00CF1E36" w:rsidRDefault="00CF1E36" w:rsidP="00CE3B35">
      <w:pPr>
        <w:numPr>
          <w:ilvl w:val="0"/>
          <w:numId w:val="35"/>
        </w:numPr>
        <w:rPr>
          <w:rFonts w:ascii="Times New Roman" w:hAnsi="Times New Roman" w:cs="Times New Roman"/>
        </w:rPr>
      </w:pPr>
      <w:r w:rsidRPr="00CF1E36">
        <w:rPr>
          <w:rFonts w:ascii="Times New Roman" w:hAnsi="Times New Roman" w:cs="Times New Roman"/>
        </w:rPr>
        <w:t>More fundamentally, the Board reasoned that allowing estoppel to operate here would defeat the very policy of Section 11 by indirectly enforcing, through the law of evidence, an obligation that the substantive law of contract declared incapable of arising in the first place. </w:t>
      </w:r>
    </w:p>
    <w:p w14:paraId="070432F2" w14:textId="77777777" w:rsidR="00CF1E36" w:rsidRPr="00CF1E36" w:rsidRDefault="00CF1E36" w:rsidP="00CF1E36">
      <w:pPr>
        <w:rPr>
          <w:rFonts w:ascii="Times New Roman" w:hAnsi="Times New Roman" w:cs="Times New Roman"/>
        </w:rPr>
      </w:pPr>
      <w:r w:rsidRPr="00CF1E36">
        <w:rPr>
          <w:rFonts w:ascii="Times New Roman" w:hAnsi="Times New Roman" w:cs="Times New Roman"/>
        </w:rPr>
        <w:t>(iii) Sections 64 and 65 of the Indian Contract Act, 1872, which provide for restitution of benefits, have no application to an agreement that was void from its inception for want of competent parties. </w:t>
      </w:r>
    </w:p>
    <w:p w14:paraId="472329B5" w14:textId="77777777" w:rsidR="00CF1E36" w:rsidRPr="00CF1E36" w:rsidRDefault="00CF1E36" w:rsidP="00CE3B35">
      <w:pPr>
        <w:numPr>
          <w:ilvl w:val="0"/>
          <w:numId w:val="36"/>
        </w:numPr>
        <w:rPr>
          <w:rFonts w:ascii="Times New Roman" w:hAnsi="Times New Roman" w:cs="Times New Roman"/>
        </w:rPr>
      </w:pPr>
      <w:r w:rsidRPr="00CF1E36">
        <w:rPr>
          <w:rFonts w:ascii="Times New Roman" w:hAnsi="Times New Roman" w:cs="Times New Roman"/>
        </w:rPr>
        <w:t>Sections 64 and 65 presuppose a contract that existed between competent parties and was subsequently avoided (Section 64) or later discovered to be void (Section 65) — they operate on agreements that were, at some point, valid contracts in law. </w:t>
      </w:r>
    </w:p>
    <w:p w14:paraId="2B03DCA5" w14:textId="77777777" w:rsidR="00CF1E36" w:rsidRPr="00CF1E36" w:rsidRDefault="00CF1E36" w:rsidP="00CE3B35">
      <w:pPr>
        <w:numPr>
          <w:ilvl w:val="0"/>
          <w:numId w:val="37"/>
        </w:numPr>
        <w:rPr>
          <w:rFonts w:ascii="Times New Roman" w:hAnsi="Times New Roman" w:cs="Times New Roman"/>
        </w:rPr>
      </w:pPr>
      <w:r w:rsidRPr="00CF1E36">
        <w:rPr>
          <w:rFonts w:ascii="Times New Roman" w:hAnsi="Times New Roman" w:cs="Times New Roman"/>
        </w:rPr>
        <w:lastRenderedPageBreak/>
        <w:t xml:space="preserve">Since </w:t>
      </w: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 was never a competent party, no valid contract ever came into existence to which these </w:t>
      </w:r>
      <w:proofErr w:type="spellStart"/>
      <w:r w:rsidRPr="00CF1E36">
        <w:rPr>
          <w:rFonts w:ascii="Times New Roman" w:hAnsi="Times New Roman" w:cs="Times New Roman"/>
        </w:rPr>
        <w:t>restitutionary</w:t>
      </w:r>
      <w:proofErr w:type="spellEnd"/>
      <w:r w:rsidRPr="00CF1E36">
        <w:rPr>
          <w:rFonts w:ascii="Times New Roman" w:hAnsi="Times New Roman" w:cs="Times New Roman"/>
        </w:rPr>
        <w:t xml:space="preserve"> provisions could attach; the Board held that these sections were therefore simply inapplicable on their own terms. </w:t>
      </w:r>
    </w:p>
    <w:p w14:paraId="4E348241" w14:textId="77777777" w:rsidR="00CF1E36" w:rsidRPr="00CF1E36" w:rsidRDefault="00CF1E36" w:rsidP="00CF1E36">
      <w:pPr>
        <w:rPr>
          <w:rFonts w:ascii="Times New Roman" w:hAnsi="Times New Roman" w:cs="Times New Roman"/>
        </w:rPr>
      </w:pPr>
      <w:r w:rsidRPr="00CF1E36">
        <w:rPr>
          <w:rFonts w:ascii="Times New Roman" w:hAnsi="Times New Roman" w:cs="Times New Roman"/>
        </w:rPr>
        <w:t>(iv) The equitable jurisdiction under Section 41 of the Specific Relief Act, 1877 could not be used to compel restitution by a minor from a party who had dealt with him with knowledge of his incapacity. </w:t>
      </w:r>
    </w:p>
    <w:p w14:paraId="4F75C90F" w14:textId="77777777" w:rsidR="00CF1E36" w:rsidRPr="00CF1E36" w:rsidRDefault="00CF1E36" w:rsidP="00CE3B35">
      <w:pPr>
        <w:numPr>
          <w:ilvl w:val="0"/>
          <w:numId w:val="38"/>
        </w:numPr>
        <w:rPr>
          <w:rFonts w:ascii="Times New Roman" w:hAnsi="Times New Roman" w:cs="Times New Roman"/>
        </w:rPr>
      </w:pPr>
      <w:r w:rsidRPr="00CF1E36">
        <w:rPr>
          <w:rFonts w:ascii="Times New Roman" w:hAnsi="Times New Roman" w:cs="Times New Roman"/>
        </w:rPr>
        <w:t xml:space="preserve">The appellants argued, in the alternative, that on cancelling the mortgage the court should exercise its discretion under Section 41 to order </w:t>
      </w: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 to repay what he had received, on the equitable maxim that "he who seeks equity must do equity." </w:t>
      </w:r>
    </w:p>
    <w:p w14:paraId="74AF2F4B" w14:textId="77777777" w:rsidR="00CF1E36" w:rsidRPr="00CF1E36" w:rsidRDefault="00CF1E36" w:rsidP="00CE3B35">
      <w:pPr>
        <w:numPr>
          <w:ilvl w:val="0"/>
          <w:numId w:val="39"/>
        </w:numPr>
        <w:rPr>
          <w:rFonts w:ascii="Times New Roman" w:hAnsi="Times New Roman" w:cs="Times New Roman"/>
        </w:rPr>
      </w:pPr>
      <w:r w:rsidRPr="00CF1E36">
        <w:rPr>
          <w:rFonts w:ascii="Times New Roman" w:hAnsi="Times New Roman" w:cs="Times New Roman"/>
        </w:rPr>
        <w:t>The Board held that this discretionary power could not be used to impose on a minor an obligation that the law of contract itself withheld from him, particularly where the party seeking restitution had advanced the money with full knowledge of the minor's incapacity and thus assumed the risk of the transaction being unenforceable. </w:t>
      </w:r>
    </w:p>
    <w:p w14:paraId="4250C05D" w14:textId="77777777" w:rsidR="007730C3" w:rsidRDefault="00CF1E36" w:rsidP="00CE3B35">
      <w:pPr>
        <w:numPr>
          <w:ilvl w:val="0"/>
          <w:numId w:val="40"/>
        </w:numPr>
        <w:rPr>
          <w:rFonts w:ascii="Times New Roman" w:hAnsi="Times New Roman" w:cs="Times New Roman"/>
        </w:rPr>
      </w:pPr>
      <w:r w:rsidRPr="00CF1E36">
        <w:rPr>
          <w:rFonts w:ascii="Times New Roman" w:hAnsi="Times New Roman" w:cs="Times New Roman"/>
        </w:rPr>
        <w:t>The Board drew support from English authority on analogous facts (including Thurstan v Nottingham Permanent Benefit Building Society) to hold that restitution of money — as distinct from the return of specific, traceable property still in a minor's possession — could not be ordered against a minor merely because the other party had, in fact, provided consideration. </w:t>
      </w:r>
    </w:p>
    <w:p w14:paraId="3A515BE9" w14:textId="77777777" w:rsidR="007730C3" w:rsidRDefault="007730C3" w:rsidP="007730C3">
      <w:pPr>
        <w:ind w:left="720"/>
        <w:rPr>
          <w:rFonts w:ascii="Times New Roman" w:hAnsi="Times New Roman" w:cs="Times New Roman"/>
        </w:rPr>
      </w:pPr>
    </w:p>
    <w:p w14:paraId="48EEA105" w14:textId="798ECE2D" w:rsidR="00CF1E36" w:rsidRDefault="00CF1E36" w:rsidP="007730C3">
      <w:pPr>
        <w:rPr>
          <w:rFonts w:ascii="Times New Roman" w:hAnsi="Times New Roman" w:cs="Times New Roman"/>
          <w:b/>
          <w:bCs/>
          <w:sz w:val="28"/>
          <w:szCs w:val="28"/>
        </w:rPr>
      </w:pPr>
      <w:r w:rsidRPr="007730C3">
        <w:rPr>
          <w:rFonts w:ascii="Times New Roman" w:hAnsi="Times New Roman" w:cs="Times New Roman"/>
          <w:b/>
          <w:bCs/>
          <w:sz w:val="28"/>
          <w:szCs w:val="28"/>
        </w:rPr>
        <w:t>5. Legal Principle: Capacity to Contract and the Doctrine of Void Agreements </w:t>
      </w:r>
    </w:p>
    <w:p w14:paraId="298FB257" w14:textId="77777777" w:rsidR="007730C3" w:rsidRPr="007730C3" w:rsidRDefault="007730C3" w:rsidP="007730C3">
      <w:pPr>
        <w:rPr>
          <w:rFonts w:ascii="Times New Roman" w:hAnsi="Times New Roman" w:cs="Times New Roman"/>
        </w:rPr>
      </w:pPr>
    </w:p>
    <w:p w14:paraId="05A411A4" w14:textId="77777777" w:rsidR="00CF1E36" w:rsidRPr="00CF1E36" w:rsidRDefault="00CF1E36" w:rsidP="00CF1E36">
      <w:pPr>
        <w:rPr>
          <w:rFonts w:ascii="Times New Roman" w:hAnsi="Times New Roman" w:cs="Times New Roman"/>
        </w:rPr>
      </w:pPr>
      <w:r w:rsidRPr="00CF1E36">
        <w:rPr>
          <w:rFonts w:ascii="Times New Roman" w:hAnsi="Times New Roman" w:cs="Times New Roman"/>
        </w:rPr>
        <w:t xml:space="preserve">This section examines how </w:t>
      </w:r>
      <w:proofErr w:type="spellStart"/>
      <w:r w:rsidRPr="00CF1E36">
        <w:rPr>
          <w:rFonts w:ascii="Times New Roman" w:hAnsi="Times New Roman" w:cs="Times New Roman"/>
        </w:rPr>
        <w:t>Mohori</w:t>
      </w:r>
      <w:proofErr w:type="spellEnd"/>
      <w:r w:rsidRPr="00CF1E36">
        <w:rPr>
          <w:rFonts w:ascii="Times New Roman" w:hAnsi="Times New Roman" w:cs="Times New Roman"/>
        </w:rPr>
        <w:t xml:space="preserve"> Bibee applies, and to a significant degree settles, the classical requirements of contractual capacity under the Indian Contract Act, 1872, and how it interacts with the neighbouring doctrines of estoppel and restitution. </w:t>
      </w:r>
    </w:p>
    <w:p w14:paraId="0245655F" w14:textId="77777777" w:rsidR="00CF1E36" w:rsidRPr="00CF1E36" w:rsidRDefault="00CF1E36" w:rsidP="00CF1E36">
      <w:pPr>
        <w:rPr>
          <w:rFonts w:ascii="Times New Roman" w:hAnsi="Times New Roman" w:cs="Times New Roman"/>
          <w:b/>
          <w:bCs/>
          <w:sz w:val="28"/>
          <w:szCs w:val="28"/>
        </w:rPr>
      </w:pPr>
      <w:r w:rsidRPr="00CF1E36">
        <w:rPr>
          <w:rFonts w:ascii="Times New Roman" w:hAnsi="Times New Roman" w:cs="Times New Roman"/>
          <w:b/>
          <w:bCs/>
          <w:sz w:val="28"/>
          <w:szCs w:val="28"/>
        </w:rPr>
        <w:t>5.1 Capacity as a Threshold Requirement of Contract Formation </w:t>
      </w:r>
    </w:p>
    <w:p w14:paraId="50436DCB" w14:textId="77777777" w:rsidR="007730C3" w:rsidRDefault="00CF1E36" w:rsidP="00CF1E36">
      <w:pPr>
        <w:rPr>
          <w:rFonts w:ascii="Times New Roman" w:hAnsi="Times New Roman" w:cs="Times New Roman"/>
        </w:rPr>
      </w:pPr>
      <w:r w:rsidRPr="00CF1E36">
        <w:rPr>
          <w:rFonts w:ascii="Times New Roman" w:hAnsi="Times New Roman" w:cs="Times New Roman"/>
        </w:rPr>
        <w:t xml:space="preserve">A foundational question in Indian contract law is whether the parties to an agreement possessed, at the time of the agreement, the legal capacity necessary for a contract to arise at all. Section 11 of the Indian Contract Act, 1872 fixes this threshold by reference to age of majority, soundness of mind, and freedom from any other legal disqualification. </w:t>
      </w:r>
    </w:p>
    <w:p w14:paraId="5027EB76" w14:textId="77777777" w:rsidR="007730C3" w:rsidRDefault="007730C3" w:rsidP="00CF1E36">
      <w:pPr>
        <w:rPr>
          <w:rFonts w:ascii="Times New Roman" w:hAnsi="Times New Roman" w:cs="Times New Roman"/>
        </w:rPr>
      </w:pPr>
    </w:p>
    <w:p w14:paraId="3B4EA81B" w14:textId="406079A8" w:rsidR="00CF1E36" w:rsidRPr="00CF1E36" w:rsidRDefault="00CF1E36" w:rsidP="00CF1E36">
      <w:pPr>
        <w:rPr>
          <w:rFonts w:ascii="Times New Roman" w:hAnsi="Times New Roman" w:cs="Times New Roman"/>
        </w:rPr>
      </w:pPr>
      <w:r w:rsidRPr="00CF1E36">
        <w:rPr>
          <w:rFonts w:ascii="Times New Roman" w:hAnsi="Times New Roman" w:cs="Times New Roman"/>
        </w:rPr>
        <w:t xml:space="preserve">Prior to </w:t>
      </w:r>
      <w:proofErr w:type="spellStart"/>
      <w:r w:rsidRPr="00CF1E36">
        <w:rPr>
          <w:rFonts w:ascii="Times New Roman" w:hAnsi="Times New Roman" w:cs="Times New Roman"/>
        </w:rPr>
        <w:t>Mohori</w:t>
      </w:r>
      <w:proofErr w:type="spellEnd"/>
      <w:r w:rsidRPr="00CF1E36">
        <w:rPr>
          <w:rFonts w:ascii="Times New Roman" w:hAnsi="Times New Roman" w:cs="Times New Roman"/>
        </w:rPr>
        <w:t xml:space="preserve"> Bibee, uncertainty persisted as to whether </w:t>
      </w:r>
      <w:proofErr w:type="spellStart"/>
      <w:r w:rsidRPr="00CF1E36">
        <w:rPr>
          <w:rFonts w:ascii="Times New Roman" w:hAnsi="Times New Roman" w:cs="Times New Roman"/>
        </w:rPr>
        <w:t>the</w:t>
      </w:r>
      <w:proofErr w:type="spellEnd"/>
      <w:r w:rsidRPr="00CF1E36">
        <w:rPr>
          <w:rFonts w:ascii="Times New Roman" w:hAnsi="Times New Roman" w:cs="Times New Roman"/>
        </w:rPr>
        <w:t xml:space="preserve"> want of capacity in a minor rendered the resulting agreement void, or merely voidable — a distinction with sweeping practical consequences, since a voidable agreement could, in principle, be ratified, ignored, or enforced subject to defences unavailable in the case of a void agreement. </w:t>
      </w:r>
    </w:p>
    <w:p w14:paraId="5393EF4C" w14:textId="77777777" w:rsidR="00CF1E36" w:rsidRPr="00CF1E36" w:rsidRDefault="00CF1E36" w:rsidP="00CF1E36">
      <w:pPr>
        <w:rPr>
          <w:rFonts w:ascii="Times New Roman" w:hAnsi="Times New Roman" w:cs="Times New Roman"/>
        </w:rPr>
      </w:pPr>
      <w:r w:rsidRPr="00CF1E36">
        <w:rPr>
          <w:rFonts w:ascii="Times New Roman" w:hAnsi="Times New Roman" w:cs="Times New Roman"/>
        </w:rPr>
        <w:lastRenderedPageBreak/>
        <w:t>The Privy Council applied several interlocking propositions to resolve this uncertainty: </w:t>
      </w:r>
    </w:p>
    <w:p w14:paraId="6D501F22" w14:textId="77777777" w:rsidR="00CF1E36" w:rsidRPr="00CF1E36" w:rsidRDefault="00CF1E36" w:rsidP="00CE3B35">
      <w:pPr>
        <w:numPr>
          <w:ilvl w:val="0"/>
          <w:numId w:val="41"/>
        </w:numPr>
        <w:rPr>
          <w:rFonts w:ascii="Times New Roman" w:hAnsi="Times New Roman" w:cs="Times New Roman"/>
        </w:rPr>
      </w:pPr>
      <w:r w:rsidRPr="00CF1E36">
        <w:rPr>
          <w:rFonts w:ascii="Times New Roman" w:hAnsi="Times New Roman" w:cs="Times New Roman"/>
        </w:rPr>
        <w:t>Textual primacy of Sections 10 and 11: The Board read the two provisions together — Section 10 requiring competent parties as a condition of a valid contract, and Section 11 excluding minors from the class of competent persons — to conclude that the Act itself supplied the answer, without recourse to English case law developed under a different statutory scheme. </w:t>
      </w:r>
    </w:p>
    <w:p w14:paraId="35C7441A" w14:textId="77777777" w:rsidR="00CF1E36" w:rsidRPr="00CF1E36" w:rsidRDefault="00CF1E36" w:rsidP="00CE3B35">
      <w:pPr>
        <w:numPr>
          <w:ilvl w:val="0"/>
          <w:numId w:val="42"/>
        </w:numPr>
        <w:rPr>
          <w:rFonts w:ascii="Times New Roman" w:hAnsi="Times New Roman" w:cs="Times New Roman"/>
        </w:rPr>
      </w:pPr>
      <w:r w:rsidRPr="00CF1E36">
        <w:rPr>
          <w:rFonts w:ascii="Times New Roman" w:hAnsi="Times New Roman" w:cs="Times New Roman"/>
        </w:rPr>
        <w:t>Void, not voidable: Because competency is treated as a precondition to the very existence of a contract rather than a vitiating factor affecting an otherwise complete contract, an agreement by a minor was held to be void ab initio — a nullity from the moment of its purported creation, incapable of ratification even after the minor attains majority. </w:t>
      </w:r>
    </w:p>
    <w:p w14:paraId="388C70E3" w14:textId="77777777" w:rsidR="00CF1E36" w:rsidRPr="00CF1E36" w:rsidRDefault="00CF1E36" w:rsidP="00CE3B35">
      <w:pPr>
        <w:numPr>
          <w:ilvl w:val="0"/>
          <w:numId w:val="43"/>
        </w:numPr>
        <w:rPr>
          <w:rFonts w:ascii="Times New Roman" w:hAnsi="Times New Roman" w:cs="Times New Roman"/>
        </w:rPr>
      </w:pPr>
      <w:r w:rsidRPr="00CF1E36">
        <w:rPr>
          <w:rFonts w:ascii="Times New Roman" w:hAnsi="Times New Roman" w:cs="Times New Roman"/>
        </w:rPr>
        <w:t>No contract to avoid: The Board's central logical move was to observe that the language of "voidability" presupposes a contract in existence that one party may elect to set aside; since a minor's incompetence prevents a contract from arising at all, there is, strictly, nothing for the minor to avoid or affirm. </w:t>
      </w:r>
    </w:p>
    <w:p w14:paraId="7ED38D54" w14:textId="77777777" w:rsidR="00CF1E36" w:rsidRPr="00CF1E36" w:rsidRDefault="00CF1E36" w:rsidP="00CF1E36">
      <w:pPr>
        <w:rPr>
          <w:rFonts w:ascii="Times New Roman" w:hAnsi="Times New Roman" w:cs="Times New Roman"/>
        </w:rPr>
      </w:pPr>
      <w:r w:rsidRPr="00CF1E36">
        <w:rPr>
          <w:rFonts w:ascii="Times New Roman" w:hAnsi="Times New Roman" w:cs="Times New Roman"/>
        </w:rPr>
        <w:t xml:space="preserve">On this analysis, the mortgage deed executed by </w:t>
      </w: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 was correctly treated not as a defective or rescindable contract, but as no contract whatsoever — a position that left no room for the appellants to found any claim, whether in contract, restitution, or equity, upon the document itself. </w:t>
      </w:r>
    </w:p>
    <w:p w14:paraId="14E1B9B1" w14:textId="77777777" w:rsidR="00CF1E36" w:rsidRPr="00CF1E36" w:rsidRDefault="00CF1E36" w:rsidP="00CF1E36">
      <w:pPr>
        <w:rPr>
          <w:rFonts w:ascii="Times New Roman" w:hAnsi="Times New Roman" w:cs="Times New Roman"/>
          <w:b/>
          <w:bCs/>
          <w:sz w:val="28"/>
          <w:szCs w:val="28"/>
        </w:rPr>
      </w:pPr>
      <w:r w:rsidRPr="00CF1E36">
        <w:rPr>
          <w:rFonts w:ascii="Times New Roman" w:hAnsi="Times New Roman" w:cs="Times New Roman"/>
          <w:b/>
          <w:bCs/>
          <w:sz w:val="28"/>
          <w:szCs w:val="28"/>
        </w:rPr>
        <w:t>5.2 The Limits of Estoppel Against Incapacity </w:t>
      </w:r>
    </w:p>
    <w:p w14:paraId="329D7D9D" w14:textId="77777777" w:rsidR="00CF1E36" w:rsidRPr="00CF1E36" w:rsidRDefault="00CF1E36" w:rsidP="00CF1E36">
      <w:pPr>
        <w:rPr>
          <w:rFonts w:ascii="Times New Roman" w:hAnsi="Times New Roman" w:cs="Times New Roman"/>
        </w:rPr>
      </w:pPr>
      <w:r w:rsidRPr="00CF1E36">
        <w:rPr>
          <w:rFonts w:ascii="Times New Roman" w:hAnsi="Times New Roman" w:cs="Times New Roman"/>
        </w:rPr>
        <w:t xml:space="preserve">Ordinary principles of estoppel (Section 115, Indian Evidence Act, 1872) prevent a person from denying a representation of fact on which another has relied to his detriment. Had the doctrine applied here, </w:t>
      </w: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Ghose's false declaration of majority could have barred him from later asserting his true age. </w:t>
      </w:r>
      <w:proofErr w:type="spellStart"/>
      <w:r w:rsidRPr="00CF1E36">
        <w:rPr>
          <w:rFonts w:ascii="Times New Roman" w:hAnsi="Times New Roman" w:cs="Times New Roman"/>
        </w:rPr>
        <w:t>Mohori</w:t>
      </w:r>
      <w:proofErr w:type="spellEnd"/>
      <w:r w:rsidRPr="00CF1E36">
        <w:rPr>
          <w:rFonts w:ascii="Times New Roman" w:hAnsi="Times New Roman" w:cs="Times New Roman"/>
        </w:rPr>
        <w:t xml:space="preserve"> Bibee establishes that estoppel cannot be used to override a statutory incapacity of this kind. Key points: </w:t>
      </w:r>
    </w:p>
    <w:p w14:paraId="5EE8C05B" w14:textId="77777777" w:rsidR="00CF1E36" w:rsidRPr="00CF1E36" w:rsidRDefault="00CF1E36" w:rsidP="00CE3B35">
      <w:pPr>
        <w:numPr>
          <w:ilvl w:val="0"/>
          <w:numId w:val="44"/>
        </w:numPr>
        <w:rPr>
          <w:rFonts w:ascii="Times New Roman" w:hAnsi="Times New Roman" w:cs="Times New Roman"/>
        </w:rPr>
      </w:pPr>
      <w:r w:rsidRPr="00CF1E36">
        <w:rPr>
          <w:rFonts w:ascii="Times New Roman" w:hAnsi="Times New Roman" w:cs="Times New Roman"/>
        </w:rPr>
        <w:t>Estoppel requires that the party relying on it was actually deceived; where, as here, the moneylender's own attorney possessed prior, direct knowledge of the minority, the representation could not have induced the transaction and no estoppel could arise on the facts. </w:t>
      </w:r>
    </w:p>
    <w:p w14:paraId="22285879" w14:textId="77777777" w:rsidR="00CF1E36" w:rsidRPr="00CF1E36" w:rsidRDefault="00CF1E36" w:rsidP="00CE3B35">
      <w:pPr>
        <w:numPr>
          <w:ilvl w:val="0"/>
          <w:numId w:val="45"/>
        </w:numPr>
        <w:rPr>
          <w:rFonts w:ascii="Times New Roman" w:hAnsi="Times New Roman" w:cs="Times New Roman"/>
        </w:rPr>
      </w:pPr>
      <w:r w:rsidRPr="00CF1E36">
        <w:rPr>
          <w:rFonts w:ascii="Times New Roman" w:hAnsi="Times New Roman" w:cs="Times New Roman"/>
        </w:rPr>
        <w:t>Even apart from the question of actual knowledge, the Board's reasoning suggests a deeper structural point: allowing a minor's own misrepresentation to bind him contractually would permit the evidentiary doctrine of estoppel to override the substantive legislative policy of protecting minors from binding contractual liability — a result the Board was not prepared to countenance. </w:t>
      </w:r>
    </w:p>
    <w:p w14:paraId="00D6E5A4" w14:textId="77777777" w:rsidR="00CF1E36" w:rsidRPr="00CF1E36" w:rsidRDefault="00CF1E36" w:rsidP="00CE3B35">
      <w:pPr>
        <w:numPr>
          <w:ilvl w:val="0"/>
          <w:numId w:val="46"/>
        </w:numPr>
        <w:rPr>
          <w:rFonts w:ascii="Times New Roman" w:hAnsi="Times New Roman" w:cs="Times New Roman"/>
        </w:rPr>
      </w:pPr>
      <w:r w:rsidRPr="00CF1E36">
        <w:rPr>
          <w:rFonts w:ascii="Times New Roman" w:hAnsi="Times New Roman" w:cs="Times New Roman"/>
        </w:rPr>
        <w:t>This is conceptually distinct from ordinary commercial estoppel between competent adults, where a false representation as to a fact within one's own knowledge will typically bind the representor. </w:t>
      </w:r>
    </w:p>
    <w:p w14:paraId="4F346339" w14:textId="77777777" w:rsidR="00CF1E36" w:rsidRDefault="00CF1E36" w:rsidP="00CE3B35">
      <w:pPr>
        <w:numPr>
          <w:ilvl w:val="0"/>
          <w:numId w:val="47"/>
        </w:numPr>
        <w:rPr>
          <w:rFonts w:ascii="Times New Roman" w:hAnsi="Times New Roman" w:cs="Times New Roman"/>
        </w:rPr>
      </w:pPr>
      <w:r w:rsidRPr="00CF1E36">
        <w:rPr>
          <w:rFonts w:ascii="Times New Roman" w:hAnsi="Times New Roman" w:cs="Times New Roman"/>
        </w:rPr>
        <w:lastRenderedPageBreak/>
        <w:t>The principle has been consistently followed in subsequent Indian authority: a minor's misrepresentation as to age does not by itself convert an otherwise void agreement into an enforceable one, though other remedies (such as an action in tort for deceit, on appropriate facts) may in principle remain open. </w:t>
      </w:r>
    </w:p>
    <w:p w14:paraId="4023B4C8" w14:textId="77777777" w:rsidR="007730C3" w:rsidRPr="00CF1E36" w:rsidRDefault="007730C3" w:rsidP="007730C3">
      <w:pPr>
        <w:ind w:left="720"/>
        <w:rPr>
          <w:rFonts w:ascii="Times New Roman" w:hAnsi="Times New Roman" w:cs="Times New Roman"/>
        </w:rPr>
      </w:pPr>
    </w:p>
    <w:p w14:paraId="27CF66B7" w14:textId="77777777" w:rsidR="00CF1E36" w:rsidRPr="00CF1E36" w:rsidRDefault="00CF1E36" w:rsidP="00CF1E36">
      <w:pPr>
        <w:rPr>
          <w:rFonts w:ascii="Times New Roman" w:hAnsi="Times New Roman" w:cs="Times New Roman"/>
          <w:b/>
          <w:bCs/>
          <w:sz w:val="28"/>
          <w:szCs w:val="28"/>
        </w:rPr>
      </w:pPr>
      <w:r w:rsidRPr="00CF1E36">
        <w:rPr>
          <w:rFonts w:ascii="Times New Roman" w:hAnsi="Times New Roman" w:cs="Times New Roman"/>
          <w:b/>
          <w:bCs/>
          <w:sz w:val="28"/>
          <w:szCs w:val="28"/>
        </w:rPr>
        <w:t>5.3 Restitution, Restoration of Benefit, and the Boundaries of Equity </w:t>
      </w:r>
    </w:p>
    <w:p w14:paraId="5AA433B9" w14:textId="77777777" w:rsidR="00CF1E36" w:rsidRPr="00CF1E36" w:rsidRDefault="00CF1E36" w:rsidP="00CF1E36">
      <w:pPr>
        <w:rPr>
          <w:rFonts w:ascii="Times New Roman" w:hAnsi="Times New Roman" w:cs="Times New Roman"/>
        </w:rPr>
      </w:pPr>
      <w:r w:rsidRPr="00CF1E36">
        <w:rPr>
          <w:rFonts w:ascii="Times New Roman" w:hAnsi="Times New Roman" w:cs="Times New Roman"/>
        </w:rPr>
        <w:t xml:space="preserve">Beyond capacity and estoppel, the case draws a sharp line around the availability of </w:t>
      </w:r>
      <w:proofErr w:type="spellStart"/>
      <w:r w:rsidRPr="00CF1E36">
        <w:rPr>
          <w:rFonts w:ascii="Times New Roman" w:hAnsi="Times New Roman" w:cs="Times New Roman"/>
        </w:rPr>
        <w:t>restitutionary</w:t>
      </w:r>
      <w:proofErr w:type="spellEnd"/>
      <w:r w:rsidRPr="00CF1E36">
        <w:rPr>
          <w:rFonts w:ascii="Times New Roman" w:hAnsi="Times New Roman" w:cs="Times New Roman"/>
        </w:rPr>
        <w:t xml:space="preserve"> and equitable relief against a minor. </w:t>
      </w:r>
    </w:p>
    <w:p w14:paraId="686137B7" w14:textId="77777777" w:rsidR="00CF1E36" w:rsidRPr="00CF1E36" w:rsidRDefault="00CF1E36" w:rsidP="00CF1E36">
      <w:pPr>
        <w:rPr>
          <w:rFonts w:ascii="Times New Roman" w:hAnsi="Times New Roman" w:cs="Times New Roman"/>
        </w:rPr>
      </w:pPr>
      <w:r w:rsidRPr="00CF1E36">
        <w:rPr>
          <w:rFonts w:ascii="Times New Roman" w:hAnsi="Times New Roman" w:cs="Times New Roman"/>
        </w:rPr>
        <w:t>Sections 64 and 65, Indian Contract Act, 1872 </w:t>
      </w:r>
    </w:p>
    <w:p w14:paraId="74A35CD1" w14:textId="77777777" w:rsidR="00CF1E36" w:rsidRPr="00CF1E36" w:rsidRDefault="00CF1E36" w:rsidP="00CE3B35">
      <w:pPr>
        <w:numPr>
          <w:ilvl w:val="0"/>
          <w:numId w:val="48"/>
        </w:numPr>
        <w:rPr>
          <w:rFonts w:ascii="Times New Roman" w:hAnsi="Times New Roman" w:cs="Times New Roman"/>
        </w:rPr>
      </w:pPr>
      <w:r w:rsidRPr="00CF1E36">
        <w:rPr>
          <w:rFonts w:ascii="Times New Roman" w:hAnsi="Times New Roman" w:cs="Times New Roman"/>
        </w:rPr>
        <w:t xml:space="preserve">The appellants argued that, having received the benefit of the loan, </w:t>
      </w: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 should be required to restore it under the provisions governing rescission of voidable contracts (Section 64) or agreements later discovered to be void (Section 65). </w:t>
      </w:r>
    </w:p>
    <w:p w14:paraId="3A2CA900" w14:textId="77777777" w:rsidR="00CF1E36" w:rsidRPr="00CF1E36" w:rsidRDefault="00CF1E36" w:rsidP="00CE3B35">
      <w:pPr>
        <w:numPr>
          <w:ilvl w:val="0"/>
          <w:numId w:val="49"/>
        </w:numPr>
        <w:rPr>
          <w:rFonts w:ascii="Times New Roman" w:hAnsi="Times New Roman" w:cs="Times New Roman"/>
        </w:rPr>
      </w:pPr>
      <w:r w:rsidRPr="00CF1E36">
        <w:rPr>
          <w:rFonts w:ascii="Times New Roman" w:hAnsi="Times New Roman" w:cs="Times New Roman"/>
        </w:rPr>
        <w:t>The Board held both provisions inapplicable, since each presupposes an agreement that was, at some point, a valid contract between competent parties — a precondition that a minor's agreement, being void from inception, could never satisfy. </w:t>
      </w:r>
    </w:p>
    <w:p w14:paraId="5E5C2E34" w14:textId="77777777" w:rsidR="00CF1E36" w:rsidRPr="00CF1E36" w:rsidRDefault="00CF1E36" w:rsidP="00CE3B35">
      <w:pPr>
        <w:numPr>
          <w:ilvl w:val="0"/>
          <w:numId w:val="50"/>
        </w:numPr>
        <w:rPr>
          <w:rFonts w:ascii="Times New Roman" w:hAnsi="Times New Roman" w:cs="Times New Roman"/>
        </w:rPr>
      </w:pPr>
      <w:r w:rsidRPr="00CF1E36">
        <w:rPr>
          <w:rFonts w:ascii="Times New Roman" w:hAnsi="Times New Roman" w:cs="Times New Roman"/>
        </w:rPr>
        <w:t xml:space="preserve">This confirms the structural point that void-ab-initio agreements sit outside the </w:t>
      </w:r>
      <w:proofErr w:type="spellStart"/>
      <w:r w:rsidRPr="00CF1E36">
        <w:rPr>
          <w:rFonts w:ascii="Times New Roman" w:hAnsi="Times New Roman" w:cs="Times New Roman"/>
        </w:rPr>
        <w:t>restitutionary</w:t>
      </w:r>
      <w:proofErr w:type="spellEnd"/>
      <w:r w:rsidRPr="00CF1E36">
        <w:rPr>
          <w:rFonts w:ascii="Times New Roman" w:hAnsi="Times New Roman" w:cs="Times New Roman"/>
        </w:rPr>
        <w:t xml:space="preserve"> scheme the Contract Act builds around contracts that once existed and were subsequently unwound. </w:t>
      </w:r>
    </w:p>
    <w:p w14:paraId="11656C7E" w14:textId="77777777" w:rsidR="00CF1E36" w:rsidRPr="00CF1E36" w:rsidRDefault="00CF1E36" w:rsidP="00CF1E36">
      <w:pPr>
        <w:rPr>
          <w:rFonts w:ascii="Times New Roman" w:hAnsi="Times New Roman" w:cs="Times New Roman"/>
        </w:rPr>
      </w:pPr>
      <w:r w:rsidRPr="00CF1E36">
        <w:rPr>
          <w:rFonts w:ascii="Times New Roman" w:hAnsi="Times New Roman" w:cs="Times New Roman"/>
        </w:rPr>
        <w:t>Section 41, Specific Relief Act, 1877 </w:t>
      </w:r>
    </w:p>
    <w:p w14:paraId="7AFFCAF4" w14:textId="77777777" w:rsidR="00CF1E36" w:rsidRPr="00CF1E36" w:rsidRDefault="00CF1E36" w:rsidP="00CE3B35">
      <w:pPr>
        <w:numPr>
          <w:ilvl w:val="0"/>
          <w:numId w:val="51"/>
        </w:numPr>
        <w:rPr>
          <w:rFonts w:ascii="Times New Roman" w:hAnsi="Times New Roman" w:cs="Times New Roman"/>
        </w:rPr>
      </w:pPr>
      <w:r w:rsidRPr="00CF1E36">
        <w:rPr>
          <w:rFonts w:ascii="Times New Roman" w:hAnsi="Times New Roman" w:cs="Times New Roman"/>
        </w:rPr>
        <w:t xml:space="preserve">The appellants' fallback equitable argument — that the court should not cancel the mortgage without ordering repayment, on the maxim that he who seeks equity must do equity — was rejected on the ground that </w:t>
      </w: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 was not the party invoking the court's cancellation jurisdiction offensively in a manner that could attract this condition, and that, in any event, the appellants had advanced the money with full knowledge of the incapacity that made recovery impossible. </w:t>
      </w:r>
    </w:p>
    <w:p w14:paraId="4219E0C9" w14:textId="77777777" w:rsidR="00CF1E36" w:rsidRPr="00CF1E36" w:rsidRDefault="00CF1E36" w:rsidP="00CE3B35">
      <w:pPr>
        <w:numPr>
          <w:ilvl w:val="0"/>
          <w:numId w:val="52"/>
        </w:numPr>
        <w:rPr>
          <w:rFonts w:ascii="Times New Roman" w:hAnsi="Times New Roman" w:cs="Times New Roman"/>
        </w:rPr>
      </w:pPr>
      <w:r w:rsidRPr="00CF1E36">
        <w:rPr>
          <w:rFonts w:ascii="Times New Roman" w:hAnsi="Times New Roman" w:cs="Times New Roman"/>
        </w:rPr>
        <w:t>The Board distinguished the position of money advanced (which, once spent, is generally not traceable or recoverable from a minor) from specific goods or property that remain identifiable in the minor's hands, for which restitution may, in appropriate cases, still be ordered — a distinction that continues to shape the modern equitable doctrine of restitution against minors in Indian law. </w:t>
      </w:r>
    </w:p>
    <w:p w14:paraId="75D15974" w14:textId="77777777" w:rsidR="00CF1E36" w:rsidRDefault="00CF1E36" w:rsidP="00CE3B35">
      <w:pPr>
        <w:numPr>
          <w:ilvl w:val="0"/>
          <w:numId w:val="53"/>
        </w:numPr>
        <w:rPr>
          <w:rFonts w:ascii="Times New Roman" w:hAnsi="Times New Roman" w:cs="Times New Roman"/>
        </w:rPr>
      </w:pPr>
      <w:r w:rsidRPr="00CF1E36">
        <w:rPr>
          <w:rFonts w:ascii="Times New Roman" w:hAnsi="Times New Roman" w:cs="Times New Roman"/>
        </w:rPr>
        <w:t>The practical effect is to place the risk of dealing with a minor squarely on the party who chooses to do so, particularly where that party has actual notice of the incapacity at the time of the transaction. </w:t>
      </w:r>
    </w:p>
    <w:p w14:paraId="4F176AF2" w14:textId="77777777" w:rsidR="007730C3" w:rsidRDefault="007730C3" w:rsidP="007730C3">
      <w:pPr>
        <w:rPr>
          <w:rFonts w:ascii="Times New Roman" w:hAnsi="Times New Roman" w:cs="Times New Roman"/>
        </w:rPr>
      </w:pPr>
    </w:p>
    <w:p w14:paraId="407A6F32" w14:textId="77777777" w:rsidR="007730C3" w:rsidRDefault="007730C3" w:rsidP="007730C3">
      <w:pPr>
        <w:rPr>
          <w:rFonts w:ascii="Times New Roman" w:hAnsi="Times New Roman" w:cs="Times New Roman"/>
        </w:rPr>
      </w:pPr>
    </w:p>
    <w:p w14:paraId="4DC2BDF2" w14:textId="77777777" w:rsidR="007730C3" w:rsidRDefault="007730C3" w:rsidP="007730C3">
      <w:pPr>
        <w:rPr>
          <w:rFonts w:ascii="Times New Roman" w:hAnsi="Times New Roman" w:cs="Times New Roman"/>
        </w:rPr>
      </w:pPr>
    </w:p>
    <w:p w14:paraId="1D9921F5" w14:textId="77777777" w:rsidR="007730C3" w:rsidRPr="00CF1E36" w:rsidRDefault="007730C3" w:rsidP="007730C3">
      <w:pPr>
        <w:rPr>
          <w:rFonts w:ascii="Times New Roman" w:hAnsi="Times New Roman" w:cs="Times New Roman"/>
        </w:rPr>
      </w:pPr>
    </w:p>
    <w:p w14:paraId="56CC8E92" w14:textId="6304D470" w:rsidR="007730C3" w:rsidRPr="00CF1E36" w:rsidRDefault="00CF1E36" w:rsidP="00CF1E36">
      <w:pPr>
        <w:rPr>
          <w:rFonts w:ascii="Times New Roman" w:hAnsi="Times New Roman" w:cs="Times New Roman"/>
          <w:b/>
          <w:bCs/>
          <w:sz w:val="28"/>
          <w:szCs w:val="28"/>
        </w:rPr>
      </w:pPr>
      <w:r w:rsidRPr="00CF1E36">
        <w:rPr>
          <w:rFonts w:ascii="Times New Roman" w:hAnsi="Times New Roman" w:cs="Times New Roman"/>
          <w:b/>
          <w:bCs/>
          <w:sz w:val="28"/>
          <w:szCs w:val="28"/>
        </w:rPr>
        <w:t>6. Relevance in Modern Law and Practice </w:t>
      </w:r>
    </w:p>
    <w:p w14:paraId="70250CE1" w14:textId="77777777" w:rsidR="00CF1E36" w:rsidRPr="00CF1E36" w:rsidRDefault="00CF1E36" w:rsidP="00CF1E36">
      <w:pPr>
        <w:rPr>
          <w:rFonts w:ascii="Times New Roman" w:hAnsi="Times New Roman" w:cs="Times New Roman"/>
          <w:b/>
          <w:bCs/>
          <w:sz w:val="28"/>
          <w:szCs w:val="28"/>
        </w:rPr>
      </w:pPr>
      <w:r w:rsidRPr="00CF1E36">
        <w:rPr>
          <w:rFonts w:ascii="Times New Roman" w:hAnsi="Times New Roman" w:cs="Times New Roman"/>
          <w:b/>
          <w:bCs/>
          <w:sz w:val="28"/>
          <w:szCs w:val="28"/>
        </w:rPr>
        <w:t>6.1 Application in Modern Contracting and Lending </w:t>
      </w:r>
    </w:p>
    <w:p w14:paraId="586C1956" w14:textId="77777777" w:rsidR="00CF1E36" w:rsidRPr="00CF1E36" w:rsidRDefault="00CF1E36" w:rsidP="00CF1E36">
      <w:pPr>
        <w:rPr>
          <w:rFonts w:ascii="Times New Roman" w:hAnsi="Times New Roman" w:cs="Times New Roman"/>
        </w:rPr>
      </w:pPr>
      <w:r w:rsidRPr="00CF1E36">
        <w:rPr>
          <w:rFonts w:ascii="Times New Roman" w:hAnsi="Times New Roman" w:cs="Times New Roman"/>
        </w:rPr>
        <w:t xml:space="preserve">Although decided in 1903, </w:t>
      </w:r>
      <w:proofErr w:type="spellStart"/>
      <w:r w:rsidRPr="00CF1E36">
        <w:rPr>
          <w:rFonts w:ascii="Times New Roman" w:hAnsi="Times New Roman" w:cs="Times New Roman"/>
        </w:rPr>
        <w:t>Mohori</w:t>
      </w:r>
      <w:proofErr w:type="spellEnd"/>
      <w:r w:rsidRPr="00CF1E36">
        <w:rPr>
          <w:rFonts w:ascii="Times New Roman" w:hAnsi="Times New Roman" w:cs="Times New Roman"/>
        </w:rPr>
        <w:t xml:space="preserve"> Bibee continues to define how Indian courts, lenders, and businesses approach transactions involving minors. Its core holding — that a minor's agreement is void ab initio and incapable of ratification or enforcement — has direct application across several areas of modern practice: </w:t>
      </w:r>
    </w:p>
    <w:p w14:paraId="4614CCFC" w14:textId="77777777" w:rsidR="00CF1E36" w:rsidRPr="00CF1E36" w:rsidRDefault="00CF1E36" w:rsidP="00CE3B35">
      <w:pPr>
        <w:numPr>
          <w:ilvl w:val="0"/>
          <w:numId w:val="54"/>
        </w:numPr>
        <w:rPr>
          <w:rFonts w:ascii="Times New Roman" w:hAnsi="Times New Roman" w:cs="Times New Roman"/>
        </w:rPr>
      </w:pPr>
      <w:r w:rsidRPr="00CF1E36">
        <w:rPr>
          <w:rFonts w:ascii="Times New Roman" w:hAnsi="Times New Roman" w:cs="Times New Roman"/>
        </w:rPr>
        <w:t>Banking, lending, and secured finance: Financial institutions verify the age and competence of borrowers and mortgagors as a matter of routine underwriting practice, precisely because a loan or mortgage executed by a minor confers no enforceable right of repayment or recovery, mirroring the position of Brahmo Dutt's estate in this very case. </w:t>
      </w:r>
    </w:p>
    <w:p w14:paraId="2708CA19" w14:textId="77777777" w:rsidR="00CF1E36" w:rsidRPr="00CF1E36" w:rsidRDefault="00CF1E36" w:rsidP="00CE3B35">
      <w:pPr>
        <w:numPr>
          <w:ilvl w:val="0"/>
          <w:numId w:val="55"/>
        </w:numPr>
        <w:rPr>
          <w:rFonts w:ascii="Times New Roman" w:hAnsi="Times New Roman" w:cs="Times New Roman"/>
        </w:rPr>
      </w:pPr>
      <w:r w:rsidRPr="00CF1E36">
        <w:rPr>
          <w:rFonts w:ascii="Times New Roman" w:hAnsi="Times New Roman" w:cs="Times New Roman"/>
        </w:rPr>
        <w:t>Property and conveyancing transactions: Sale deeds, leases, and mortgages executed by or with minors are treated as void, requiring transactions involving a minor's property to be conducted through a natural or court-appointed guardian acting within the scope of the guardian's authority. </w:t>
      </w:r>
    </w:p>
    <w:p w14:paraId="173DDFCD" w14:textId="77777777" w:rsidR="00CF1E36" w:rsidRPr="00CF1E36" w:rsidRDefault="00CF1E36" w:rsidP="00CE3B35">
      <w:pPr>
        <w:numPr>
          <w:ilvl w:val="0"/>
          <w:numId w:val="56"/>
        </w:numPr>
        <w:rPr>
          <w:rFonts w:ascii="Times New Roman" w:hAnsi="Times New Roman" w:cs="Times New Roman"/>
        </w:rPr>
      </w:pPr>
      <w:r w:rsidRPr="00CF1E36">
        <w:rPr>
          <w:rFonts w:ascii="Times New Roman" w:hAnsi="Times New Roman" w:cs="Times New Roman"/>
        </w:rPr>
        <w:t>Consumer and digital contracting: The principle extends to modern account-opening terms, e-commerce click-wrap agreements, and financial-technology products, where platforms commonly build in age-verification and guardian-consent mechanisms in recognition that a minor's purported acceptance of terms creates no binding contract. </w:t>
      </w:r>
    </w:p>
    <w:p w14:paraId="3BBF7039" w14:textId="77777777" w:rsidR="00CF1E36" w:rsidRPr="00CF1E36" w:rsidRDefault="00CF1E36" w:rsidP="00CE3B35">
      <w:pPr>
        <w:numPr>
          <w:ilvl w:val="0"/>
          <w:numId w:val="57"/>
        </w:numPr>
        <w:rPr>
          <w:rFonts w:ascii="Times New Roman" w:hAnsi="Times New Roman" w:cs="Times New Roman"/>
        </w:rPr>
      </w:pPr>
      <w:r w:rsidRPr="00CF1E36">
        <w:rPr>
          <w:rFonts w:ascii="Times New Roman" w:hAnsi="Times New Roman" w:cs="Times New Roman"/>
        </w:rPr>
        <w:t>Company law and commercial instruments: The incapacity of minors to contract informs related rules restricting a minor's ability to become a partner in a firm (though a minor may be admitted to the benefits of partnership) or to be allotted shares involving personal liability, doctrines that trace their conceptual roots to the same statutory logic applied in this case. </w:t>
      </w:r>
    </w:p>
    <w:p w14:paraId="3A410FC0" w14:textId="77777777" w:rsidR="00CF1E36" w:rsidRPr="00CF1E36" w:rsidRDefault="00CF1E36" w:rsidP="00CF1E36">
      <w:pPr>
        <w:rPr>
          <w:rFonts w:ascii="Times New Roman" w:hAnsi="Times New Roman" w:cs="Times New Roman"/>
          <w:b/>
          <w:bCs/>
          <w:sz w:val="28"/>
          <w:szCs w:val="28"/>
        </w:rPr>
      </w:pPr>
      <w:r w:rsidRPr="00CF1E36">
        <w:rPr>
          <w:rFonts w:ascii="Times New Roman" w:hAnsi="Times New Roman" w:cs="Times New Roman"/>
          <w:b/>
          <w:bCs/>
          <w:sz w:val="28"/>
          <w:szCs w:val="28"/>
        </w:rPr>
        <w:t>6.2 Risk Management and Practical Implications </w:t>
      </w:r>
    </w:p>
    <w:p w14:paraId="6D0618CE" w14:textId="77777777" w:rsidR="00CF1E36" w:rsidRPr="00CF1E36" w:rsidRDefault="00CF1E36" w:rsidP="00CF1E36">
      <w:pPr>
        <w:rPr>
          <w:rFonts w:ascii="Times New Roman" w:hAnsi="Times New Roman" w:cs="Times New Roman"/>
        </w:rPr>
      </w:pPr>
      <w:r w:rsidRPr="00CF1E36">
        <w:rPr>
          <w:rFonts w:ascii="Times New Roman" w:hAnsi="Times New Roman" w:cs="Times New Roman"/>
        </w:rPr>
        <w:t>The judgment offers several enduring, practical lessons for parties transacting with individuals whose capacity may be in doubt: </w:t>
      </w:r>
    </w:p>
    <w:p w14:paraId="1DF291CC" w14:textId="77777777" w:rsidR="00CF1E36" w:rsidRPr="00CF1E36" w:rsidRDefault="00CF1E36" w:rsidP="00CE3B35">
      <w:pPr>
        <w:numPr>
          <w:ilvl w:val="0"/>
          <w:numId w:val="58"/>
        </w:numPr>
        <w:rPr>
          <w:rFonts w:ascii="Times New Roman" w:hAnsi="Times New Roman" w:cs="Times New Roman"/>
        </w:rPr>
      </w:pPr>
      <w:r w:rsidRPr="00CF1E36">
        <w:rPr>
          <w:rFonts w:ascii="Times New Roman" w:hAnsi="Times New Roman" w:cs="Times New Roman"/>
        </w:rPr>
        <w:t>Verify age and capacity before transacting. The moneylender's attorney had actual notice of minority and proceeded regardless; modern lending and contracting practice requires robust identity and age verification precisely to avoid this outcome. </w:t>
      </w:r>
    </w:p>
    <w:p w14:paraId="7DCFF56E" w14:textId="77777777" w:rsidR="00CF1E36" w:rsidRDefault="00CF1E36" w:rsidP="00CE3B35">
      <w:pPr>
        <w:numPr>
          <w:ilvl w:val="0"/>
          <w:numId w:val="59"/>
        </w:numPr>
        <w:rPr>
          <w:rFonts w:ascii="Times New Roman" w:hAnsi="Times New Roman" w:cs="Times New Roman"/>
        </w:rPr>
      </w:pPr>
      <w:r w:rsidRPr="00CF1E36">
        <w:rPr>
          <w:rFonts w:ascii="Times New Roman" w:hAnsi="Times New Roman" w:cs="Times New Roman"/>
        </w:rPr>
        <w:t xml:space="preserve">A counterparty's own declaration is not a substitute for due diligence. </w:t>
      </w: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Ghose's signed declaration of majority did not protect the moneylender, because the lender's side already possessed contrary knowledge — a reminder that a representation cannot cure a default that has already been discovered. </w:t>
      </w:r>
    </w:p>
    <w:p w14:paraId="58F13BAD" w14:textId="77777777" w:rsidR="007730C3" w:rsidRPr="00CF1E36" w:rsidRDefault="007730C3" w:rsidP="007730C3">
      <w:pPr>
        <w:ind w:left="720"/>
        <w:rPr>
          <w:rFonts w:ascii="Times New Roman" w:hAnsi="Times New Roman" w:cs="Times New Roman"/>
        </w:rPr>
      </w:pPr>
    </w:p>
    <w:p w14:paraId="2E077140" w14:textId="77777777" w:rsidR="00CF1E36" w:rsidRPr="00CF1E36" w:rsidRDefault="00CF1E36" w:rsidP="00CE3B35">
      <w:pPr>
        <w:numPr>
          <w:ilvl w:val="0"/>
          <w:numId w:val="60"/>
        </w:numPr>
        <w:rPr>
          <w:rFonts w:ascii="Times New Roman" w:hAnsi="Times New Roman" w:cs="Times New Roman"/>
        </w:rPr>
      </w:pPr>
      <w:r w:rsidRPr="00CF1E36">
        <w:rPr>
          <w:rFonts w:ascii="Times New Roman" w:hAnsi="Times New Roman" w:cs="Times New Roman"/>
        </w:rPr>
        <w:lastRenderedPageBreak/>
        <w:t>Transact through a lawful guardian. Property and financial dealings concerning a minor should be conducted through the minor's natural guardian or a guardian appointed by a competent court, acting within the scope of that authority, rather than directly with the minor. </w:t>
      </w:r>
    </w:p>
    <w:p w14:paraId="6E907A7D" w14:textId="77777777" w:rsidR="00CF1E36" w:rsidRPr="00CF1E36" w:rsidRDefault="00CF1E36" w:rsidP="00CE3B35">
      <w:pPr>
        <w:numPr>
          <w:ilvl w:val="0"/>
          <w:numId w:val="61"/>
        </w:numPr>
        <w:rPr>
          <w:rFonts w:ascii="Times New Roman" w:hAnsi="Times New Roman" w:cs="Times New Roman"/>
        </w:rPr>
      </w:pPr>
      <w:r w:rsidRPr="00CF1E36">
        <w:rPr>
          <w:rFonts w:ascii="Times New Roman" w:hAnsi="Times New Roman" w:cs="Times New Roman"/>
        </w:rPr>
        <w:t xml:space="preserve">Money advanced to a minor is ordinarily irrecoverable. Because restitution of money (as opposed to specific, traceable property) is generally unavailable against a minor, a party who advances funds to a </w:t>
      </w:r>
      <w:proofErr w:type="gramStart"/>
      <w:r w:rsidRPr="00CF1E36">
        <w:rPr>
          <w:rFonts w:ascii="Times New Roman" w:hAnsi="Times New Roman" w:cs="Times New Roman"/>
        </w:rPr>
        <w:t>minor bears</w:t>
      </w:r>
      <w:proofErr w:type="gramEnd"/>
      <w:r w:rsidRPr="00CF1E36">
        <w:rPr>
          <w:rFonts w:ascii="Times New Roman" w:hAnsi="Times New Roman" w:cs="Times New Roman"/>
        </w:rPr>
        <w:t xml:space="preserve"> the risk of total loss if the transaction is later challenged. </w:t>
      </w:r>
    </w:p>
    <w:p w14:paraId="37B8103C" w14:textId="77777777" w:rsidR="00CF1E36" w:rsidRPr="00CF1E36" w:rsidRDefault="00CF1E36" w:rsidP="00CE3B35">
      <w:pPr>
        <w:numPr>
          <w:ilvl w:val="0"/>
          <w:numId w:val="62"/>
        </w:numPr>
        <w:rPr>
          <w:rFonts w:ascii="Times New Roman" w:hAnsi="Times New Roman" w:cs="Times New Roman"/>
        </w:rPr>
      </w:pPr>
      <w:r w:rsidRPr="00CF1E36">
        <w:rPr>
          <w:rFonts w:ascii="Times New Roman" w:hAnsi="Times New Roman" w:cs="Times New Roman"/>
        </w:rPr>
        <w:t>Recognise the protective policy behind the rule. The decision reflects a deliberate legislative choice to shield minors from binding liability even at the cost of some hardship to those who deal with them, and courts have consistently declined to dilute that protection through estoppel or equity. </w:t>
      </w:r>
    </w:p>
    <w:p w14:paraId="2B53AD55" w14:textId="77777777" w:rsidR="00CF1E36" w:rsidRPr="00CF1E36" w:rsidRDefault="00CF1E36" w:rsidP="00CF1E36">
      <w:pPr>
        <w:rPr>
          <w:rFonts w:ascii="Times New Roman" w:hAnsi="Times New Roman" w:cs="Times New Roman"/>
          <w:b/>
          <w:bCs/>
          <w:sz w:val="28"/>
          <w:szCs w:val="28"/>
        </w:rPr>
      </w:pPr>
      <w:r w:rsidRPr="00CF1E36">
        <w:rPr>
          <w:rFonts w:ascii="Times New Roman" w:hAnsi="Times New Roman" w:cs="Times New Roman"/>
          <w:b/>
          <w:bCs/>
          <w:sz w:val="28"/>
          <w:szCs w:val="28"/>
        </w:rPr>
        <w:t>7. Conclusion </w:t>
      </w:r>
    </w:p>
    <w:p w14:paraId="442D600F" w14:textId="77777777" w:rsidR="00CF1E36" w:rsidRPr="00CF1E36" w:rsidRDefault="00CF1E36" w:rsidP="00CF1E36">
      <w:pPr>
        <w:rPr>
          <w:rFonts w:ascii="Times New Roman" w:hAnsi="Times New Roman" w:cs="Times New Roman"/>
          <w:b/>
          <w:bCs/>
          <w:sz w:val="28"/>
          <w:szCs w:val="28"/>
        </w:rPr>
      </w:pPr>
      <w:r w:rsidRPr="00CF1E36">
        <w:rPr>
          <w:rFonts w:ascii="Times New Roman" w:hAnsi="Times New Roman" w:cs="Times New Roman"/>
          <w:b/>
          <w:bCs/>
          <w:sz w:val="28"/>
          <w:szCs w:val="28"/>
        </w:rPr>
        <w:t>7.1 Personal Learning and Observations </w:t>
      </w:r>
    </w:p>
    <w:p w14:paraId="1BCAF28C" w14:textId="77777777" w:rsidR="00CF1E36" w:rsidRPr="00CF1E36" w:rsidRDefault="00CF1E36" w:rsidP="00CE3B35">
      <w:pPr>
        <w:numPr>
          <w:ilvl w:val="0"/>
          <w:numId w:val="63"/>
        </w:numPr>
        <w:rPr>
          <w:rFonts w:ascii="Times New Roman" w:hAnsi="Times New Roman" w:cs="Times New Roman"/>
        </w:rPr>
      </w:pPr>
      <w:proofErr w:type="spellStart"/>
      <w:r w:rsidRPr="00CF1E36">
        <w:rPr>
          <w:rFonts w:ascii="Times New Roman" w:hAnsi="Times New Roman" w:cs="Times New Roman"/>
        </w:rPr>
        <w:t>Mohori</w:t>
      </w:r>
      <w:proofErr w:type="spellEnd"/>
      <w:r w:rsidRPr="00CF1E36">
        <w:rPr>
          <w:rFonts w:ascii="Times New Roman" w:hAnsi="Times New Roman" w:cs="Times New Roman"/>
        </w:rPr>
        <w:t xml:space="preserve"> Bibee v </w:t>
      </w:r>
      <w:proofErr w:type="spellStart"/>
      <w:r w:rsidRPr="00CF1E36">
        <w:rPr>
          <w:rFonts w:ascii="Times New Roman" w:hAnsi="Times New Roman" w:cs="Times New Roman"/>
        </w:rPr>
        <w:t>Dharmodas</w:t>
      </w:r>
      <w:proofErr w:type="spellEnd"/>
      <w:r w:rsidRPr="00CF1E36">
        <w:rPr>
          <w:rFonts w:ascii="Times New Roman" w:hAnsi="Times New Roman" w:cs="Times New Roman"/>
        </w:rPr>
        <w:t xml:space="preserve"> Ghose endures as a foundational case not because its facts are commercially significant in isolation, but because the Privy Council used a comparatively modest mortgage dispute to settle, with unusual clarity, the relationship between capacity, contract formation, estoppel, and restitution under Indian law. </w:t>
      </w:r>
    </w:p>
    <w:p w14:paraId="53C7A931" w14:textId="77777777" w:rsidR="00CF1E36" w:rsidRPr="00CF1E36" w:rsidRDefault="00CF1E36" w:rsidP="00CE3B35">
      <w:pPr>
        <w:numPr>
          <w:ilvl w:val="0"/>
          <w:numId w:val="64"/>
        </w:numPr>
        <w:rPr>
          <w:rFonts w:ascii="Times New Roman" w:hAnsi="Times New Roman" w:cs="Times New Roman"/>
        </w:rPr>
      </w:pPr>
      <w:r w:rsidRPr="00CF1E36">
        <w:rPr>
          <w:rFonts w:ascii="Times New Roman" w:hAnsi="Times New Roman" w:cs="Times New Roman"/>
        </w:rPr>
        <w:t>The judgment demonstrates how a court can move from a general statutory text (Sections 10 and 11 of the Contract Act) to a settled, protective rule of general application, resisting the temptation to import English analogies that would have softened the rule into mere voidability. </w:t>
      </w:r>
    </w:p>
    <w:p w14:paraId="2DB2AFD1" w14:textId="77777777" w:rsidR="00CF1E36" w:rsidRPr="00CF1E36" w:rsidRDefault="00CF1E36" w:rsidP="00CE3B35">
      <w:pPr>
        <w:numPr>
          <w:ilvl w:val="0"/>
          <w:numId w:val="65"/>
        </w:numPr>
        <w:rPr>
          <w:rFonts w:ascii="Times New Roman" w:hAnsi="Times New Roman" w:cs="Times New Roman"/>
        </w:rPr>
      </w:pPr>
      <w:r w:rsidRPr="00CF1E36">
        <w:rPr>
          <w:rFonts w:ascii="Times New Roman" w:hAnsi="Times New Roman" w:cs="Times New Roman"/>
        </w:rPr>
        <w:t>A key observation is how much weight the Board placed on the moneylender's own actual knowledge of the minority. This illustrates a broader lesson: the protective policy behind incapacity rules cannot be circumvented merely because the other party can point to a paper declaration or a technical argument in equity. </w:t>
      </w:r>
    </w:p>
    <w:p w14:paraId="3B0FB7CC" w14:textId="77777777" w:rsidR="00CF1E36" w:rsidRPr="00CF1E36" w:rsidRDefault="00CF1E36" w:rsidP="00CE3B35">
      <w:pPr>
        <w:numPr>
          <w:ilvl w:val="0"/>
          <w:numId w:val="66"/>
        </w:numPr>
        <w:rPr>
          <w:rFonts w:ascii="Times New Roman" w:hAnsi="Times New Roman" w:cs="Times New Roman"/>
        </w:rPr>
      </w:pPr>
      <w:r w:rsidRPr="00CF1E36">
        <w:rPr>
          <w:rFonts w:ascii="Times New Roman" w:hAnsi="Times New Roman" w:cs="Times New Roman"/>
        </w:rPr>
        <w:t>The decision has attracted sustained academic and judicial commentary for the hardship it can impose on parties who deal with minors in good faith, particularly where a minor deliberately misrepresents his age; later cases and statutory developments have continued to grapple with the tension between protecting minors and preventing them from using their incapacity as an instrument of fraud. </w:t>
      </w:r>
    </w:p>
    <w:p w14:paraId="6DAF90EE" w14:textId="2FD15F7E" w:rsidR="00CF1E36" w:rsidRPr="007730C3" w:rsidRDefault="00CF1E36" w:rsidP="00CE3B35">
      <w:pPr>
        <w:numPr>
          <w:ilvl w:val="0"/>
          <w:numId w:val="67"/>
        </w:numPr>
        <w:rPr>
          <w:rFonts w:ascii="Times New Roman" w:hAnsi="Times New Roman" w:cs="Times New Roman"/>
        </w:rPr>
      </w:pPr>
      <w:r w:rsidRPr="00CF1E36">
        <w:rPr>
          <w:rFonts w:ascii="Times New Roman" w:hAnsi="Times New Roman" w:cs="Times New Roman"/>
        </w:rPr>
        <w:t>The case remains instructive precisely because it sits at the intersection of contract law and social protection, of doctrinal formalism and practical risk allocation, in a way that continues to shape how lenders, guardians, and courts approach transactions involving minors more than a century later. </w:t>
      </w:r>
    </w:p>
    <w:p w14:paraId="2B65F0BF" w14:textId="77777777" w:rsidR="00513FEF" w:rsidRPr="00CF1E36" w:rsidRDefault="00513FEF">
      <w:pPr>
        <w:rPr>
          <w:rFonts w:ascii="Times New Roman" w:hAnsi="Times New Roman" w:cs="Times New Roman"/>
        </w:rPr>
      </w:pPr>
    </w:p>
    <w:sectPr w:rsidR="00513FEF" w:rsidRPr="00CF1E36" w:rsidSect="007730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501B"/>
    <w:multiLevelType w:val="multilevel"/>
    <w:tmpl w:val="DD6E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6D2DDF"/>
    <w:multiLevelType w:val="multilevel"/>
    <w:tmpl w:val="03D6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AA49F0"/>
    <w:multiLevelType w:val="multilevel"/>
    <w:tmpl w:val="7576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6A5563"/>
    <w:multiLevelType w:val="multilevel"/>
    <w:tmpl w:val="D8D2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9F5C14"/>
    <w:multiLevelType w:val="multilevel"/>
    <w:tmpl w:val="4590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337D17"/>
    <w:multiLevelType w:val="multilevel"/>
    <w:tmpl w:val="59A8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73167A"/>
    <w:multiLevelType w:val="multilevel"/>
    <w:tmpl w:val="0180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524137"/>
    <w:multiLevelType w:val="multilevel"/>
    <w:tmpl w:val="2EDC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59510F"/>
    <w:multiLevelType w:val="multilevel"/>
    <w:tmpl w:val="CC9A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086493"/>
    <w:multiLevelType w:val="multilevel"/>
    <w:tmpl w:val="3756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C45945"/>
    <w:multiLevelType w:val="multilevel"/>
    <w:tmpl w:val="D088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131E01"/>
    <w:multiLevelType w:val="multilevel"/>
    <w:tmpl w:val="645E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6F5F10"/>
    <w:multiLevelType w:val="multilevel"/>
    <w:tmpl w:val="8C42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DD4A8C"/>
    <w:multiLevelType w:val="multilevel"/>
    <w:tmpl w:val="1D7A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5414AC"/>
    <w:multiLevelType w:val="multilevel"/>
    <w:tmpl w:val="7C2C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9A15D96"/>
    <w:multiLevelType w:val="multilevel"/>
    <w:tmpl w:val="248E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CE21C0"/>
    <w:multiLevelType w:val="multilevel"/>
    <w:tmpl w:val="EDB4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AEB5C32"/>
    <w:multiLevelType w:val="multilevel"/>
    <w:tmpl w:val="6BCC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E8A4493"/>
    <w:multiLevelType w:val="multilevel"/>
    <w:tmpl w:val="E57E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07607A"/>
    <w:multiLevelType w:val="multilevel"/>
    <w:tmpl w:val="0A7C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553273F"/>
    <w:multiLevelType w:val="multilevel"/>
    <w:tmpl w:val="A022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8771067"/>
    <w:multiLevelType w:val="multilevel"/>
    <w:tmpl w:val="F54C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9281D22"/>
    <w:multiLevelType w:val="multilevel"/>
    <w:tmpl w:val="9398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92B1AB1"/>
    <w:multiLevelType w:val="multilevel"/>
    <w:tmpl w:val="7268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E262721"/>
    <w:multiLevelType w:val="multilevel"/>
    <w:tmpl w:val="948E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F307A1D"/>
    <w:multiLevelType w:val="multilevel"/>
    <w:tmpl w:val="EF7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9176FC"/>
    <w:multiLevelType w:val="multilevel"/>
    <w:tmpl w:val="F772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F9C2552"/>
    <w:multiLevelType w:val="multilevel"/>
    <w:tmpl w:val="F47E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FEE76CF"/>
    <w:multiLevelType w:val="multilevel"/>
    <w:tmpl w:val="690A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1B82D60"/>
    <w:multiLevelType w:val="multilevel"/>
    <w:tmpl w:val="013E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6367205"/>
    <w:multiLevelType w:val="multilevel"/>
    <w:tmpl w:val="E9FE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7381DD6"/>
    <w:multiLevelType w:val="multilevel"/>
    <w:tmpl w:val="C326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9C752ED"/>
    <w:multiLevelType w:val="multilevel"/>
    <w:tmpl w:val="4D1C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A0B70E1"/>
    <w:multiLevelType w:val="multilevel"/>
    <w:tmpl w:val="61EE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A8D7C69"/>
    <w:multiLevelType w:val="multilevel"/>
    <w:tmpl w:val="387C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C5010C9"/>
    <w:multiLevelType w:val="multilevel"/>
    <w:tmpl w:val="6712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C8037CD"/>
    <w:multiLevelType w:val="multilevel"/>
    <w:tmpl w:val="C59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D0A6F53"/>
    <w:multiLevelType w:val="multilevel"/>
    <w:tmpl w:val="115E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1076E18"/>
    <w:multiLevelType w:val="multilevel"/>
    <w:tmpl w:val="D7AE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350263A"/>
    <w:multiLevelType w:val="multilevel"/>
    <w:tmpl w:val="91AA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4CC033C"/>
    <w:multiLevelType w:val="multilevel"/>
    <w:tmpl w:val="84A0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60F019E"/>
    <w:multiLevelType w:val="multilevel"/>
    <w:tmpl w:val="51C6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BD73EC5"/>
    <w:multiLevelType w:val="multilevel"/>
    <w:tmpl w:val="8B14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DDF2CB3"/>
    <w:multiLevelType w:val="multilevel"/>
    <w:tmpl w:val="FDEE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0AB680D"/>
    <w:multiLevelType w:val="multilevel"/>
    <w:tmpl w:val="ECC2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19870ED"/>
    <w:multiLevelType w:val="multilevel"/>
    <w:tmpl w:val="E752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3E40AD2"/>
    <w:multiLevelType w:val="multilevel"/>
    <w:tmpl w:val="AACE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4895EB5"/>
    <w:multiLevelType w:val="multilevel"/>
    <w:tmpl w:val="248A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5D45B33"/>
    <w:multiLevelType w:val="multilevel"/>
    <w:tmpl w:val="FA70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6A949FA"/>
    <w:multiLevelType w:val="multilevel"/>
    <w:tmpl w:val="A626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83A0316"/>
    <w:multiLevelType w:val="multilevel"/>
    <w:tmpl w:val="0A84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0817E0B"/>
    <w:multiLevelType w:val="multilevel"/>
    <w:tmpl w:val="9D80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1B072E8"/>
    <w:multiLevelType w:val="multilevel"/>
    <w:tmpl w:val="22E4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25932BF"/>
    <w:multiLevelType w:val="multilevel"/>
    <w:tmpl w:val="FA72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6767AE1"/>
    <w:multiLevelType w:val="multilevel"/>
    <w:tmpl w:val="BBA4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7C827E0"/>
    <w:multiLevelType w:val="multilevel"/>
    <w:tmpl w:val="CAE8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7F577B3"/>
    <w:multiLevelType w:val="multilevel"/>
    <w:tmpl w:val="9A46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EA90A42"/>
    <w:multiLevelType w:val="multilevel"/>
    <w:tmpl w:val="5170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FA83F6A"/>
    <w:multiLevelType w:val="multilevel"/>
    <w:tmpl w:val="F220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19821E5"/>
    <w:multiLevelType w:val="multilevel"/>
    <w:tmpl w:val="E940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1CC65F5"/>
    <w:multiLevelType w:val="multilevel"/>
    <w:tmpl w:val="578C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2CA764B"/>
    <w:multiLevelType w:val="multilevel"/>
    <w:tmpl w:val="E5A6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82E54BD"/>
    <w:multiLevelType w:val="multilevel"/>
    <w:tmpl w:val="504A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B2C1D50"/>
    <w:multiLevelType w:val="multilevel"/>
    <w:tmpl w:val="9CEE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C5D55F2"/>
    <w:multiLevelType w:val="multilevel"/>
    <w:tmpl w:val="F476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DA57F3C"/>
    <w:multiLevelType w:val="multilevel"/>
    <w:tmpl w:val="D878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F62271E"/>
    <w:multiLevelType w:val="multilevel"/>
    <w:tmpl w:val="C58E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0252020">
    <w:abstractNumId w:val="50"/>
  </w:num>
  <w:num w:numId="2" w16cid:durableId="1343779600">
    <w:abstractNumId w:val="55"/>
  </w:num>
  <w:num w:numId="3" w16cid:durableId="414206072">
    <w:abstractNumId w:val="58"/>
  </w:num>
  <w:num w:numId="4" w16cid:durableId="2114938800">
    <w:abstractNumId w:val="61"/>
  </w:num>
  <w:num w:numId="5" w16cid:durableId="850677719">
    <w:abstractNumId w:val="13"/>
  </w:num>
  <w:num w:numId="6" w16cid:durableId="795949446">
    <w:abstractNumId w:val="18"/>
  </w:num>
  <w:num w:numId="7" w16cid:durableId="2054841594">
    <w:abstractNumId w:val="5"/>
  </w:num>
  <w:num w:numId="8" w16cid:durableId="603540369">
    <w:abstractNumId w:val="4"/>
  </w:num>
  <w:num w:numId="9" w16cid:durableId="225000019">
    <w:abstractNumId w:val="40"/>
  </w:num>
  <w:num w:numId="10" w16cid:durableId="325716189">
    <w:abstractNumId w:val="25"/>
  </w:num>
  <w:num w:numId="11" w16cid:durableId="1296643593">
    <w:abstractNumId w:val="34"/>
  </w:num>
  <w:num w:numId="12" w16cid:durableId="1414623910">
    <w:abstractNumId w:val="31"/>
  </w:num>
  <w:num w:numId="13" w16cid:durableId="177695360">
    <w:abstractNumId w:val="12"/>
  </w:num>
  <w:num w:numId="14" w16cid:durableId="1161845791">
    <w:abstractNumId w:val="8"/>
  </w:num>
  <w:num w:numId="15" w16cid:durableId="1838643079">
    <w:abstractNumId w:val="44"/>
  </w:num>
  <w:num w:numId="16" w16cid:durableId="2094622970">
    <w:abstractNumId w:val="47"/>
  </w:num>
  <w:num w:numId="17" w16cid:durableId="1550796805">
    <w:abstractNumId w:val="17"/>
  </w:num>
  <w:num w:numId="18" w16cid:durableId="1005324908">
    <w:abstractNumId w:val="30"/>
  </w:num>
  <w:num w:numId="19" w16cid:durableId="1398823419">
    <w:abstractNumId w:val="2"/>
  </w:num>
  <w:num w:numId="20" w16cid:durableId="120072909">
    <w:abstractNumId w:val="36"/>
  </w:num>
  <w:num w:numId="21" w16cid:durableId="973411304">
    <w:abstractNumId w:val="23"/>
  </w:num>
  <w:num w:numId="22" w16cid:durableId="1820337917">
    <w:abstractNumId w:val="46"/>
  </w:num>
  <w:num w:numId="23" w16cid:durableId="1415013580">
    <w:abstractNumId w:val="53"/>
  </w:num>
  <w:num w:numId="24" w16cid:durableId="2090615265">
    <w:abstractNumId w:val="32"/>
  </w:num>
  <w:num w:numId="25" w16cid:durableId="1309093302">
    <w:abstractNumId w:val="9"/>
  </w:num>
  <w:num w:numId="26" w16cid:durableId="1033463746">
    <w:abstractNumId w:val="51"/>
  </w:num>
  <w:num w:numId="27" w16cid:durableId="790515232">
    <w:abstractNumId w:val="42"/>
  </w:num>
  <w:num w:numId="28" w16cid:durableId="1018384913">
    <w:abstractNumId w:val="57"/>
  </w:num>
  <w:num w:numId="29" w16cid:durableId="635838554">
    <w:abstractNumId w:val="6"/>
  </w:num>
  <w:num w:numId="30" w16cid:durableId="2081323045">
    <w:abstractNumId w:val="54"/>
  </w:num>
  <w:num w:numId="31" w16cid:durableId="447896492">
    <w:abstractNumId w:val="65"/>
  </w:num>
  <w:num w:numId="32" w16cid:durableId="1159615952">
    <w:abstractNumId w:val="19"/>
  </w:num>
  <w:num w:numId="33" w16cid:durableId="2117866757">
    <w:abstractNumId w:val="45"/>
  </w:num>
  <w:num w:numId="34" w16cid:durableId="1322200853">
    <w:abstractNumId w:val="21"/>
  </w:num>
  <w:num w:numId="35" w16cid:durableId="2110271675">
    <w:abstractNumId w:val="62"/>
  </w:num>
  <w:num w:numId="36" w16cid:durableId="372660673">
    <w:abstractNumId w:val="28"/>
  </w:num>
  <w:num w:numId="37" w16cid:durableId="1218971957">
    <w:abstractNumId w:val="64"/>
  </w:num>
  <w:num w:numId="38" w16cid:durableId="2038581900">
    <w:abstractNumId w:val="49"/>
  </w:num>
  <w:num w:numId="39" w16cid:durableId="1667971576">
    <w:abstractNumId w:val="29"/>
  </w:num>
  <w:num w:numId="40" w16cid:durableId="945119072">
    <w:abstractNumId w:val="10"/>
  </w:num>
  <w:num w:numId="41" w16cid:durableId="89281993">
    <w:abstractNumId w:val="39"/>
  </w:num>
  <w:num w:numId="42" w16cid:durableId="199900241">
    <w:abstractNumId w:val="41"/>
  </w:num>
  <w:num w:numId="43" w16cid:durableId="1297301279">
    <w:abstractNumId w:val="26"/>
  </w:num>
  <w:num w:numId="44" w16cid:durableId="1013999645">
    <w:abstractNumId w:val="33"/>
  </w:num>
  <w:num w:numId="45" w16cid:durableId="1908684860">
    <w:abstractNumId w:val="66"/>
  </w:num>
  <w:num w:numId="46" w16cid:durableId="1105345920">
    <w:abstractNumId w:val="20"/>
  </w:num>
  <w:num w:numId="47" w16cid:durableId="1142817626">
    <w:abstractNumId w:val="7"/>
  </w:num>
  <w:num w:numId="48" w16cid:durableId="923343241">
    <w:abstractNumId w:val="37"/>
  </w:num>
  <w:num w:numId="49" w16cid:durableId="2032147943">
    <w:abstractNumId w:val="48"/>
  </w:num>
  <w:num w:numId="50" w16cid:durableId="1693528497">
    <w:abstractNumId w:val="52"/>
  </w:num>
  <w:num w:numId="51" w16cid:durableId="279533323">
    <w:abstractNumId w:val="15"/>
  </w:num>
  <w:num w:numId="52" w16cid:durableId="561909750">
    <w:abstractNumId w:val="16"/>
  </w:num>
  <w:num w:numId="53" w16cid:durableId="95902399">
    <w:abstractNumId w:val="0"/>
  </w:num>
  <w:num w:numId="54" w16cid:durableId="655457958">
    <w:abstractNumId w:val="14"/>
  </w:num>
  <w:num w:numId="55" w16cid:durableId="174462297">
    <w:abstractNumId w:val="1"/>
  </w:num>
  <w:num w:numId="56" w16cid:durableId="1479876986">
    <w:abstractNumId w:val="27"/>
  </w:num>
  <w:num w:numId="57" w16cid:durableId="1876693530">
    <w:abstractNumId w:val="59"/>
  </w:num>
  <w:num w:numId="58" w16cid:durableId="1717773143">
    <w:abstractNumId w:val="11"/>
  </w:num>
  <w:num w:numId="59" w16cid:durableId="1009403819">
    <w:abstractNumId w:val="56"/>
  </w:num>
  <w:num w:numId="60" w16cid:durableId="368378470">
    <w:abstractNumId w:val="22"/>
  </w:num>
  <w:num w:numId="61" w16cid:durableId="1725332106">
    <w:abstractNumId w:val="38"/>
  </w:num>
  <w:num w:numId="62" w16cid:durableId="1883859023">
    <w:abstractNumId w:val="43"/>
  </w:num>
  <w:num w:numId="63" w16cid:durableId="1501919911">
    <w:abstractNumId w:val="60"/>
  </w:num>
  <w:num w:numId="64" w16cid:durableId="169150247">
    <w:abstractNumId w:val="35"/>
  </w:num>
  <w:num w:numId="65" w16cid:durableId="1729454841">
    <w:abstractNumId w:val="3"/>
  </w:num>
  <w:num w:numId="66" w16cid:durableId="1890338860">
    <w:abstractNumId w:val="24"/>
  </w:num>
  <w:num w:numId="67" w16cid:durableId="1238906865">
    <w:abstractNumId w:val="63"/>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E36"/>
    <w:rsid w:val="00513FEF"/>
    <w:rsid w:val="007730C3"/>
    <w:rsid w:val="00BA21E7"/>
    <w:rsid w:val="00CA2C9F"/>
    <w:rsid w:val="00CE3B35"/>
    <w:rsid w:val="00CF1E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ECE84"/>
  <w15:chartTrackingRefBased/>
  <w15:docId w15:val="{2D15CBCB-A625-4AC5-B526-98B2B2CA1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E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E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E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E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E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E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E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E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E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E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E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E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E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E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E36"/>
    <w:rPr>
      <w:rFonts w:eastAsiaTheme="majorEastAsia" w:cstheme="majorBidi"/>
      <w:color w:val="272727" w:themeColor="text1" w:themeTint="D8"/>
    </w:rPr>
  </w:style>
  <w:style w:type="paragraph" w:styleId="Title">
    <w:name w:val="Title"/>
    <w:basedOn w:val="Normal"/>
    <w:next w:val="Normal"/>
    <w:link w:val="TitleChar"/>
    <w:uiPriority w:val="10"/>
    <w:qFormat/>
    <w:rsid w:val="00CF1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E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E36"/>
    <w:pPr>
      <w:spacing w:before="160"/>
      <w:jc w:val="center"/>
    </w:pPr>
    <w:rPr>
      <w:i/>
      <w:iCs/>
      <w:color w:val="404040" w:themeColor="text1" w:themeTint="BF"/>
    </w:rPr>
  </w:style>
  <w:style w:type="character" w:customStyle="1" w:styleId="QuoteChar">
    <w:name w:val="Quote Char"/>
    <w:basedOn w:val="DefaultParagraphFont"/>
    <w:link w:val="Quote"/>
    <w:uiPriority w:val="29"/>
    <w:rsid w:val="00CF1E36"/>
    <w:rPr>
      <w:i/>
      <w:iCs/>
      <w:color w:val="404040" w:themeColor="text1" w:themeTint="BF"/>
    </w:rPr>
  </w:style>
  <w:style w:type="paragraph" w:styleId="ListParagraph">
    <w:name w:val="List Paragraph"/>
    <w:basedOn w:val="Normal"/>
    <w:uiPriority w:val="34"/>
    <w:qFormat/>
    <w:rsid w:val="00CF1E36"/>
    <w:pPr>
      <w:ind w:left="720"/>
      <w:contextualSpacing/>
    </w:pPr>
  </w:style>
  <w:style w:type="character" w:styleId="IntenseEmphasis">
    <w:name w:val="Intense Emphasis"/>
    <w:basedOn w:val="DefaultParagraphFont"/>
    <w:uiPriority w:val="21"/>
    <w:qFormat/>
    <w:rsid w:val="00CF1E36"/>
    <w:rPr>
      <w:i/>
      <w:iCs/>
      <w:color w:val="0F4761" w:themeColor="accent1" w:themeShade="BF"/>
    </w:rPr>
  </w:style>
  <w:style w:type="paragraph" w:styleId="IntenseQuote">
    <w:name w:val="Intense Quote"/>
    <w:basedOn w:val="Normal"/>
    <w:next w:val="Normal"/>
    <w:link w:val="IntenseQuoteChar"/>
    <w:uiPriority w:val="30"/>
    <w:qFormat/>
    <w:rsid w:val="00CF1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E36"/>
    <w:rPr>
      <w:i/>
      <w:iCs/>
      <w:color w:val="0F4761" w:themeColor="accent1" w:themeShade="BF"/>
    </w:rPr>
  </w:style>
  <w:style w:type="character" w:styleId="IntenseReference">
    <w:name w:val="Intense Reference"/>
    <w:basedOn w:val="DefaultParagraphFont"/>
    <w:uiPriority w:val="32"/>
    <w:qFormat/>
    <w:rsid w:val="00CF1E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12</Pages>
  <Words>3800</Words>
  <Characters>21664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Kumar K</dc:creator>
  <cp:keywords/>
  <dc:description/>
  <cp:lastModifiedBy>Manoj Kumar K</cp:lastModifiedBy>
  <cp:revision>1</cp:revision>
  <dcterms:created xsi:type="dcterms:W3CDTF">2026-09-24T17:33:00Z</dcterms:created>
  <dcterms:modified xsi:type="dcterms:W3CDTF">2026-09-24T17:49:00Z</dcterms:modified>
</cp:coreProperties>
</file>