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0"/>
        <w:jc w:val="center"/>
      </w:pPr>
      <w:r>
        <w:rPr>
          <w:rFonts w:ascii="Times New Roman" w:cs="Times New Roman" w:eastAsia="Times New Roman" w:hAnsi="Times New Roman"/>
          <w:b/>
          <w:bCs/>
          <w:sz w:val="36"/>
          <w:szCs w:val="36"/>
        </w:rPr>
        <w:t xml:space="preserve">CORPORATE POLICY REVIEW REPORT</w:t>
      </w:r>
    </w:p>
    <w:p>
      <w:pPr>
        <w:spacing w:after="200"/>
        <w:jc w:val="center"/>
      </w:pPr>
      <w:r>
        <w:rPr>
          <w:rFonts w:ascii="Times New Roman" w:cs="Times New Roman" w:eastAsia="Times New Roman" w:hAnsi="Times New Roman"/>
          <w:b/>
          <w:bCs/>
          <w:sz w:val="30"/>
          <w:szCs w:val="30"/>
        </w:rPr>
        <w:t xml:space="preserve">Banking Customer Protection Policy</w:t>
      </w:r>
    </w:p>
    <w:p>
      <w:pPr>
        <w:spacing w:after="1600"/>
        <w:jc w:val="center"/>
      </w:pPr>
      <w:r>
        <w:rPr>
          <w:rFonts w:ascii="Times New Roman" w:cs="Times New Roman" w:eastAsia="Times New Roman" w:hAnsi="Times New Roman"/>
          <w:i/>
          <w:iCs/>
          <w:sz w:val="26"/>
          <w:szCs w:val="26"/>
        </w:rPr>
        <w:t xml:space="preserve">A Review of the HDFC Bank Customer Protection Policy</w:t>
      </w:r>
    </w:p>
    <w:p>
      <w:pPr>
        <w:spacing w:after="1600"/>
        <w:jc w:val="center"/>
      </w:pPr>
      <w:r>
        <w:rPr>
          <w:rFonts w:ascii="Times New Roman" w:cs="Times New Roman" w:eastAsia="Times New Roman" w:hAnsi="Times New Roman"/>
          <w:sz w:val="26"/>
          <w:szCs w:val="26"/>
        </w:rPr>
        <w:t xml:space="preserve">Organization Reviewed: HDFC Bank Ltd.</w:t>
      </w:r>
    </w:p>
    <w:p>
      <w:pPr>
        <w:spacing w:after="15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6"/>
          <w:szCs w:val="26"/>
        </w:rPr>
        <w:t xml:space="preserve">Name: Manoj Kumar K</w:t>
      </w:r>
    </w:p>
    <w:p>
      <w:pPr>
        <w:spacing w:after="100"/>
        <w:jc w:val="center"/>
      </w:pPr>
      <w:r>
        <w:rPr>
          <w:rFonts w:ascii="Times New Roman" w:cs="Times New Roman" w:eastAsia="Times New Roman" w:hAnsi="Times New Roman"/>
          <w:sz w:val="26"/>
          <w:szCs w:val="26"/>
        </w:rPr>
        <w:t xml:space="preserve">Register Number: 5272510210</w:t>
      </w:r>
    </w:p>
    <w:p>
      <w:pPr>
        <w:spacing w:after="100"/>
        <w:jc w:val="center"/>
      </w:pPr>
      <w:r>
        <w:rPr>
          <w:rFonts w:ascii="Times New Roman" w:cs="Times New Roman" w:eastAsia="Times New Roman" w:hAnsi="Times New Roman"/>
          <w:sz w:val="26"/>
          <w:szCs w:val="26"/>
        </w:rPr>
        <w:t xml:space="preserve">Course: B.Com Fintech with AI</w:t>
      </w:r>
    </w:p>
    <w:p>
      <w:pPr>
        <w:spacing w:after="100"/>
        <w:jc w:val="center"/>
      </w:pPr>
      <w:r>
        <w:rPr>
          <w:rFonts w:ascii="Times New Roman" w:cs="Times New Roman" w:eastAsia="Times New Roman" w:hAnsi="Times New Roman"/>
          <w:sz w:val="26"/>
          <w:szCs w:val="26"/>
        </w:rPr>
        <w:t xml:space="preserve">Activity Title: Corporate Policy Review Report</w:t>
      </w:r>
    </w:p>
    <w:p>
      <w:pPr>
        <w:spacing w:after="100"/>
        <w:jc w:val="center"/>
      </w:pPr>
      <w:r>
        <w:rPr>
          <w:rFonts w:ascii="Times New Roman" w:cs="Times New Roman" w:eastAsia="Times New Roman" w:hAnsi="Times New Roman"/>
          <w:sz w:val="26"/>
          <w:szCs w:val="26"/>
        </w:rPr>
        <w:t xml:space="preserve">Policy Name: Banking Customer Protection Policy</w:t>
      </w:r>
    </w:p>
    <w:p>
      <w:r>
        <w:br w:type="page"/>
      </w:r>
    </w:p>
    <w:p>
      <w:pPr>
        <w:spacing w:after="150" w:before="3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HDFC Bank is one of India's largest private sector banks, offering savings accounts, loans, credit cards, and digital banking services to millions of customers. Since banking involves people's money and personal data, protecting customers is one of the most important duties of any bank.</w:t>
      </w:r>
    </w:p>
    <w:p>
      <w:pPr>
        <w:spacing w:after="200" w:line="360"/>
        <w:jc w:val="both"/>
      </w:pPr>
      <w:r>
        <w:rPr>
          <w:rFonts w:ascii="Times New Roman" w:cs="Times New Roman" w:eastAsia="Times New Roman" w:hAnsi="Times New Roman"/>
          <w:sz w:val="24"/>
          <w:szCs w:val="24"/>
        </w:rPr>
        <w:t xml:space="preserve">The policy chosen for this review is the HDFC Bank Customer Protection Policy, which includes the bank's Grievance Redressal Policy and Customer Compensation Policy. Together, these explain how the bank handles customer complaints, protects customers from unauthorised transactions, and compensates them when something goes wrong due to the bank's fault.</w:t>
      </w:r>
    </w:p>
    <w:p>
      <w:pPr>
        <w:spacing w:after="200" w:line="360"/>
        <w:jc w:val="both"/>
      </w:pPr>
      <w:r>
        <w:rPr>
          <w:rFonts w:ascii="Times New Roman" w:cs="Times New Roman" w:eastAsia="Times New Roman" w:hAnsi="Times New Roman"/>
          <w:sz w:val="24"/>
          <w:szCs w:val="24"/>
        </w:rPr>
        <w:t xml:space="preserve">The purpose of this review is to understand how HDFC Bank protects the rights of its customers, how complaints are resolved, and how well the policy works in real situations, including cases that have gone to consumer courts.</w:t>
      </w:r>
    </w:p>
    <w:p>
      <w:pPr>
        <w:spacing w:after="150" w:before="300"/>
      </w:pPr>
      <w:r>
        <w:rPr>
          <w:rFonts w:ascii="Times New Roman" w:cs="Times New Roman" w:eastAsia="Times New Roman" w:hAnsi="Times New Roman"/>
          <w:b/>
          <w:bCs/>
          <w:sz w:val="28"/>
          <w:szCs w:val="28"/>
        </w:rPr>
        <w:t xml:space="preserve">2. Policy Overview</w:t>
      </w:r>
    </w:p>
    <w:p>
      <w:pPr>
        <w:spacing w:after="200" w:line="360"/>
        <w:jc w:val="both"/>
      </w:pPr>
      <w:r>
        <w:rPr>
          <w:rFonts w:ascii="Times New Roman" w:cs="Times New Roman" w:eastAsia="Times New Roman" w:hAnsi="Times New Roman"/>
          <w:sz w:val="24"/>
          <w:szCs w:val="24"/>
        </w:rPr>
        <w:t xml:space="preserve">The HDFC Bank Customer Protection Policy is designed around the idea that customer focus is a core value of the bank. It combines a Grievance Redressal Policy, which explains how complaints are handled, with a Customer Compensation Policy, which explains when and how much the bank will pay customers for losses caused by its own mistakes.</w:t>
      </w:r>
    </w:p>
    <w:p>
      <w:pPr>
        <w:spacing w:after="100" w:before="150"/>
      </w:pPr>
      <w:r>
        <w:rPr>
          <w:rFonts w:ascii="Times New Roman" w:cs="Times New Roman" w:eastAsia="Times New Roman" w:hAnsi="Times New Roman"/>
          <w:b/>
          <w:bCs/>
          <w:sz w:val="28"/>
          <w:szCs w:val="28"/>
        </w:rPr>
        <w:t xml:space="preserve">Scope of the Policy</w:t>
      </w:r>
    </w:p>
    <w:p>
      <w:pPr>
        <w:spacing w:after="200" w:line="360"/>
        <w:jc w:val="both"/>
      </w:pPr>
      <w:r>
        <w:rPr>
          <w:rFonts w:ascii="Times New Roman" w:cs="Times New Roman" w:eastAsia="Times New Roman" w:hAnsi="Times New Roman"/>
          <w:sz w:val="24"/>
          <w:szCs w:val="24"/>
        </w:rPr>
        <w:t xml:space="preserve">The policy applies to all retail and individual customers of HDFC Bank across its branches, ATMs, net banking, mobile banking, and card services in India. It follows guidelines set by the Reserve Bank of India (RBI), including the Master Circular on Customer Service and the Banking Code and Standards Board of India (BCSBI).</w:t>
      </w:r>
    </w:p>
    <w:p>
      <w:pPr>
        <w:spacing w:after="100" w:before="150"/>
      </w:pPr>
      <w:r>
        <w:rPr>
          <w:rFonts w:ascii="Times New Roman" w:cs="Times New Roman" w:eastAsia="Times New Roman" w:hAnsi="Times New Roman"/>
          <w:b/>
          <w:bCs/>
          <w:sz w:val="28"/>
          <w:szCs w:val="28"/>
        </w:rPr>
        <w:t xml:space="preserve">Stakeholders Covered</w:t>
      </w:r>
    </w:p>
    <w:p>
      <w:pPr>
        <w:pStyle w:val="ListParagraph"/>
        <w:numPr>
          <w:ilvl w:val="0"/>
          <w:numId w:val="1"/>
        </w:numPr>
        <w:spacing w:after="100" w:line="360"/>
      </w:pPr>
      <w:r>
        <w:rPr>
          <w:rFonts w:ascii="Times New Roman" w:cs="Times New Roman" w:eastAsia="Times New Roman" w:hAnsi="Times New Roman"/>
          <w:sz w:val="24"/>
          <w:szCs w:val="24"/>
        </w:rPr>
        <w:t xml:space="preserve">Savings and current account holders</w:t>
      </w:r>
    </w:p>
    <w:p>
      <w:pPr>
        <w:pStyle w:val="ListParagraph"/>
        <w:numPr>
          <w:ilvl w:val="0"/>
          <w:numId w:val="1"/>
        </w:numPr>
        <w:spacing w:after="100" w:line="360"/>
      </w:pPr>
      <w:r>
        <w:rPr>
          <w:rFonts w:ascii="Times New Roman" w:cs="Times New Roman" w:eastAsia="Times New Roman" w:hAnsi="Times New Roman"/>
          <w:sz w:val="24"/>
          <w:szCs w:val="24"/>
        </w:rPr>
        <w:t xml:space="preserve">Credit and debit card customers</w:t>
      </w:r>
    </w:p>
    <w:p>
      <w:pPr>
        <w:pStyle w:val="ListParagraph"/>
        <w:numPr>
          <w:ilvl w:val="0"/>
          <w:numId w:val="1"/>
        </w:numPr>
        <w:spacing w:after="100" w:line="360"/>
      </w:pPr>
      <w:r>
        <w:rPr>
          <w:rFonts w:ascii="Times New Roman" w:cs="Times New Roman" w:eastAsia="Times New Roman" w:hAnsi="Times New Roman"/>
          <w:sz w:val="24"/>
          <w:szCs w:val="24"/>
        </w:rPr>
        <w:t xml:space="preserve">Loan customers</w:t>
      </w:r>
    </w:p>
    <w:p>
      <w:pPr>
        <w:pStyle w:val="ListParagraph"/>
        <w:numPr>
          <w:ilvl w:val="0"/>
          <w:numId w:val="1"/>
        </w:numPr>
        <w:spacing w:after="100" w:line="360"/>
      </w:pPr>
      <w:r>
        <w:rPr>
          <w:rFonts w:ascii="Times New Roman" w:cs="Times New Roman" w:eastAsia="Times New Roman" w:hAnsi="Times New Roman"/>
          <w:sz w:val="24"/>
          <w:szCs w:val="24"/>
        </w:rPr>
        <w:t xml:space="preserve">Users of net banking, mobile banking, and digital payment services</w:t>
      </w:r>
    </w:p>
    <w:p>
      <w:pPr>
        <w:pStyle w:val="ListParagraph"/>
        <w:numPr>
          <w:ilvl w:val="0"/>
          <w:numId w:val="1"/>
        </w:numPr>
        <w:spacing w:after="100" w:line="360"/>
      </w:pPr>
      <w:r>
        <w:rPr>
          <w:rFonts w:ascii="Times New Roman" w:cs="Times New Roman" w:eastAsia="Times New Roman" w:hAnsi="Times New Roman"/>
          <w:sz w:val="24"/>
          <w:szCs w:val="24"/>
        </w:rPr>
        <w:t xml:space="preserve">Customers affected by fraud or unauthorised transactions</w:t>
      </w:r>
    </w:p>
    <w:p>
      <w:pPr>
        <w:spacing w:after="100" w:before="150"/>
      </w:pPr>
      <w:r>
        <w:rPr>
          <w:rFonts w:ascii="Times New Roman" w:cs="Times New Roman" w:eastAsia="Times New Roman" w:hAnsi="Times New Roman"/>
          <w:b/>
          <w:bCs/>
          <w:sz w:val="28"/>
          <w:szCs w:val="28"/>
        </w:rPr>
        <w:t xml:space="preserve">Key Objectives of the Policy</w:t>
      </w:r>
    </w:p>
    <w:p>
      <w:pPr>
        <w:pStyle w:val="ListParagraph"/>
        <w:numPr>
          <w:ilvl w:val="0"/>
          <w:numId w:val="1"/>
        </w:numPr>
        <w:spacing w:after="100" w:line="360"/>
      </w:pPr>
      <w:r>
        <w:rPr>
          <w:rFonts w:ascii="Times New Roman" w:cs="Times New Roman" w:eastAsia="Times New Roman" w:hAnsi="Times New Roman"/>
          <w:sz w:val="24"/>
          <w:szCs w:val="24"/>
        </w:rPr>
        <w:t xml:space="preserve">To treat all customers fairly and without bias</w:t>
      </w:r>
    </w:p>
    <w:p>
      <w:pPr>
        <w:pStyle w:val="ListParagraph"/>
        <w:numPr>
          <w:ilvl w:val="0"/>
          <w:numId w:val="1"/>
        </w:numPr>
        <w:spacing w:after="100" w:line="360"/>
      </w:pPr>
      <w:r>
        <w:rPr>
          <w:rFonts w:ascii="Times New Roman" w:cs="Times New Roman" w:eastAsia="Times New Roman" w:hAnsi="Times New Roman"/>
          <w:sz w:val="24"/>
          <w:szCs w:val="24"/>
        </w:rPr>
        <w:t xml:space="preserve">To resolve customer complaints quickly and with courtesy</w:t>
      </w:r>
    </w:p>
    <w:p>
      <w:pPr>
        <w:pStyle w:val="ListParagraph"/>
        <w:numPr>
          <w:ilvl w:val="0"/>
          <w:numId w:val="1"/>
        </w:numPr>
        <w:spacing w:after="100" w:line="360"/>
      </w:pPr>
      <w:r>
        <w:rPr>
          <w:rFonts w:ascii="Times New Roman" w:cs="Times New Roman" w:eastAsia="Times New Roman" w:hAnsi="Times New Roman"/>
          <w:sz w:val="24"/>
          <w:szCs w:val="24"/>
        </w:rPr>
        <w:t xml:space="preserve">To limit customer liability in cases of unauthorised electronic transactions</w:t>
      </w:r>
    </w:p>
    <w:p>
      <w:pPr>
        <w:pStyle w:val="ListParagraph"/>
        <w:numPr>
          <w:ilvl w:val="0"/>
          <w:numId w:val="1"/>
        </w:numPr>
        <w:spacing w:after="100" w:line="360"/>
      </w:pPr>
      <w:r>
        <w:rPr>
          <w:rFonts w:ascii="Times New Roman" w:cs="Times New Roman" w:eastAsia="Times New Roman" w:hAnsi="Times New Roman"/>
          <w:sz w:val="24"/>
          <w:szCs w:val="24"/>
        </w:rPr>
        <w:t xml:space="preserve">To compensate customers fairly when the bank is at fault</w:t>
      </w:r>
    </w:p>
    <w:p>
      <w:pPr>
        <w:pStyle w:val="ListParagraph"/>
        <w:numPr>
          <w:ilvl w:val="0"/>
          <w:numId w:val="1"/>
        </w:numPr>
        <w:spacing w:after="100" w:line="360"/>
      </w:pPr>
      <w:r>
        <w:rPr>
          <w:rFonts w:ascii="Times New Roman" w:cs="Times New Roman" w:eastAsia="Times New Roman" w:hAnsi="Times New Roman"/>
          <w:sz w:val="24"/>
          <w:szCs w:val="24"/>
        </w:rPr>
        <w:t xml:space="preserve">To make customers aware of how to escalate unresolved complaints</w:t>
      </w:r>
    </w:p>
    <w:p>
      <w:pPr>
        <w:spacing w:after="150" w:before="300"/>
      </w:pPr>
      <w:r>
        <w:rPr>
          <w:rFonts w:ascii="Times New Roman" w:cs="Times New Roman" w:eastAsia="Times New Roman" w:hAnsi="Times New Roman"/>
          <w:b/>
          <w:bCs/>
          <w:sz w:val="28"/>
          <w:szCs w:val="28"/>
        </w:rPr>
        <w:t xml:space="preserve">3. Key Provisions of the Policy</w:t>
      </w:r>
    </w:p>
    <w:p>
      <w:pPr>
        <w:spacing w:after="200" w:line="360"/>
        <w:jc w:val="both"/>
      </w:pPr>
      <w:r>
        <w:rPr>
          <w:rFonts w:ascii="Times New Roman" w:cs="Times New Roman" w:eastAsia="Times New Roman" w:hAnsi="Times New Roman"/>
          <w:sz w:val="24"/>
          <w:szCs w:val="24"/>
        </w:rPr>
        <w:t xml:space="preserve">The Customer Protection Policy at HDFC Bank covers several important areas that protect customers during their banking relationship.</w:t>
      </w:r>
    </w:p>
    <w:p>
      <w:pPr>
        <w:spacing w:after="100" w:before="150"/>
      </w:pPr>
      <w:r>
        <w:rPr>
          <w:rFonts w:ascii="Times New Roman" w:cs="Times New Roman" w:eastAsia="Times New Roman" w:hAnsi="Times New Roman"/>
          <w:b/>
          <w:bCs/>
          <w:sz w:val="28"/>
          <w:szCs w:val="28"/>
        </w:rPr>
        <w:t xml:space="preserve">Customer Rights</w:t>
      </w:r>
    </w:p>
    <w:p>
      <w:pPr>
        <w:spacing w:after="200" w:line="360"/>
        <w:jc w:val="both"/>
      </w:pPr>
      <w:r>
        <w:rPr>
          <w:rFonts w:ascii="Times New Roman" w:cs="Times New Roman" w:eastAsia="Times New Roman" w:hAnsi="Times New Roman"/>
          <w:sz w:val="24"/>
          <w:szCs w:val="24"/>
        </w:rPr>
        <w:t xml:space="preserve">Customers have the right to fair treatment, clear information about products and charges, and timely resolution of complaints. They also have the right to be protected from unauthorised transactions, provided they report such incidents promptly.</w:t>
      </w:r>
    </w:p>
    <w:p>
      <w:pPr>
        <w:spacing w:after="100" w:before="150"/>
      </w:pPr>
      <w:r>
        <w:rPr>
          <w:rFonts w:ascii="Times New Roman" w:cs="Times New Roman" w:eastAsia="Times New Roman" w:hAnsi="Times New Roman"/>
          <w:b/>
          <w:bCs/>
          <w:sz w:val="28"/>
          <w:szCs w:val="28"/>
        </w:rPr>
        <w:t xml:space="preserve">Grievance Redressal Process</w:t>
      </w:r>
    </w:p>
    <w:p>
      <w:pPr>
        <w:spacing w:after="200" w:line="360"/>
        <w:jc w:val="both"/>
      </w:pPr>
      <w:r>
        <w:rPr>
          <w:rFonts w:ascii="Times New Roman" w:cs="Times New Roman" w:eastAsia="Times New Roman" w:hAnsi="Times New Roman"/>
          <w:sz w:val="24"/>
          <w:szCs w:val="24"/>
        </w:rPr>
        <w:t xml:space="preserve">Customers can raise complaints through multiple channels, including the bank's website, helpline numbers, WhatsApp banking, email, or by visiting a branch. Level 1 complaints, such as failed ATM withdrawals or unauthorised digital transactions, are meant to be resolved within 7 to 10 working days.</w:t>
      </w:r>
    </w:p>
    <w:p>
      <w:pPr>
        <w:spacing w:after="100" w:before="150"/>
      </w:pPr>
      <w:r>
        <w:rPr>
          <w:rFonts w:ascii="Times New Roman" w:cs="Times New Roman" w:eastAsia="Times New Roman" w:hAnsi="Times New Roman"/>
          <w:b/>
          <w:bCs/>
          <w:sz w:val="28"/>
          <w:szCs w:val="28"/>
        </w:rPr>
        <w:t xml:space="preserve">Escalation Mechanism</w:t>
      </w:r>
    </w:p>
    <w:p>
      <w:pPr>
        <w:spacing w:after="200" w:line="360"/>
        <w:jc w:val="both"/>
      </w:pPr>
      <w:r>
        <w:rPr>
          <w:rFonts w:ascii="Times New Roman" w:cs="Times New Roman" w:eastAsia="Times New Roman" w:hAnsi="Times New Roman"/>
          <w:sz w:val="24"/>
          <w:szCs w:val="24"/>
        </w:rPr>
        <w:t xml:space="preserve">If a complaint is not resolved at the first level, the customer can escalate it to the Grievance Redressal Cell and then to the Principal Nodal Officer. If the issue remains unresolved after 30 working days, the customer has the right to approach the Banking Ombudsman appointed by the RBI.</w:t>
      </w:r>
    </w:p>
    <w:p>
      <w:pPr>
        <w:spacing w:after="100" w:before="150"/>
      </w:pPr>
      <w:r>
        <w:rPr>
          <w:rFonts w:ascii="Times New Roman" w:cs="Times New Roman" w:eastAsia="Times New Roman" w:hAnsi="Times New Roman"/>
          <w:b/>
          <w:bCs/>
          <w:sz w:val="28"/>
          <w:szCs w:val="28"/>
        </w:rPr>
        <w:t xml:space="preserve">Unauthorized Transactions</w:t>
      </w:r>
    </w:p>
    <w:p>
      <w:pPr>
        <w:spacing w:after="200" w:line="360"/>
        <w:jc w:val="both"/>
      </w:pPr>
      <w:r>
        <w:rPr>
          <w:rFonts w:ascii="Times New Roman" w:cs="Times New Roman" w:eastAsia="Times New Roman" w:hAnsi="Times New Roman"/>
          <w:sz w:val="24"/>
          <w:szCs w:val="24"/>
        </w:rPr>
        <w:t xml:space="preserve">Under RBI guidelines, a customer's liability for unauthorised electronic transactions is limited if the incident is reported within a set time frame. If neither the bank nor the customer is at fault, the loss may still need to be handled carefully, and the burden of proving customer negligence lies with the bank.</w:t>
      </w:r>
    </w:p>
    <w:p>
      <w:pPr>
        <w:spacing w:after="100" w:before="150"/>
      </w:pPr>
      <w:r>
        <w:rPr>
          <w:rFonts w:ascii="Times New Roman" w:cs="Times New Roman" w:eastAsia="Times New Roman" w:hAnsi="Times New Roman"/>
          <w:b/>
          <w:bCs/>
          <w:sz w:val="28"/>
          <w:szCs w:val="28"/>
        </w:rPr>
        <w:t xml:space="preserve">Compensation for Bank's Fault</w:t>
      </w:r>
    </w:p>
    <w:p>
      <w:pPr>
        <w:spacing w:after="200" w:line="360"/>
        <w:jc w:val="both"/>
      </w:pPr>
      <w:r>
        <w:rPr>
          <w:rFonts w:ascii="Times New Roman" w:cs="Times New Roman" w:eastAsia="Times New Roman" w:hAnsi="Times New Roman"/>
          <w:sz w:val="24"/>
          <w:szCs w:val="24"/>
        </w:rPr>
        <w:t xml:space="preserve">Where the bank's error or staff misconduct causes a loss, the bank is required to acknowledge the mistake and compensate the customer without unnecessary delay. Compensation may also cover the customer's time, expenses, and mental distress caused by the bank's mistake.</w:t>
      </w:r>
    </w:p>
    <w:p>
      <w:pPr>
        <w:spacing w:after="100" w:before="150"/>
      </w:pPr>
      <w:r>
        <w:rPr>
          <w:rFonts w:ascii="Times New Roman" w:cs="Times New Roman" w:eastAsia="Times New Roman" w:hAnsi="Times New Roman"/>
          <w:b/>
          <w:bCs/>
          <w:sz w:val="28"/>
          <w:szCs w:val="28"/>
        </w:rPr>
        <w:t xml:space="preserve">Disclosure and Transparency</w:t>
      </w:r>
    </w:p>
    <w:p>
      <w:pPr>
        <w:pStyle w:val="ListParagraph"/>
        <w:numPr>
          <w:ilvl w:val="0"/>
          <w:numId w:val="1"/>
        </w:numPr>
        <w:spacing w:after="100" w:line="360"/>
      </w:pPr>
      <w:r>
        <w:rPr>
          <w:rFonts w:ascii="Times New Roman" w:cs="Times New Roman" w:eastAsia="Times New Roman" w:hAnsi="Times New Roman"/>
          <w:sz w:val="24"/>
          <w:szCs w:val="24"/>
        </w:rPr>
        <w:t xml:space="preserve">Customers must be clearly informed about fees, charges, and terms of products</w:t>
      </w:r>
    </w:p>
    <w:p>
      <w:pPr>
        <w:pStyle w:val="ListParagraph"/>
        <w:numPr>
          <w:ilvl w:val="0"/>
          <w:numId w:val="1"/>
        </w:numPr>
        <w:spacing w:after="100" w:line="360"/>
      </w:pPr>
      <w:r>
        <w:rPr>
          <w:rFonts w:ascii="Times New Roman" w:cs="Times New Roman" w:eastAsia="Times New Roman" w:hAnsi="Times New Roman"/>
          <w:sz w:val="24"/>
          <w:szCs w:val="24"/>
        </w:rPr>
        <w:t xml:space="preserve">Warnings are issued to customers about common banking frauds and scams</w:t>
      </w:r>
    </w:p>
    <w:p>
      <w:pPr>
        <w:pStyle w:val="ListParagraph"/>
        <w:numPr>
          <w:ilvl w:val="0"/>
          <w:numId w:val="1"/>
        </w:numPr>
        <w:spacing w:after="100" w:line="360"/>
      </w:pPr>
      <w:r>
        <w:rPr>
          <w:rFonts w:ascii="Times New Roman" w:cs="Times New Roman" w:eastAsia="Times New Roman" w:hAnsi="Times New Roman"/>
          <w:sz w:val="24"/>
          <w:szCs w:val="24"/>
        </w:rPr>
        <w:t xml:space="preserve">Bank staff are prohibited from asking for sensitive details like OTP, PIN, or CVV</w:t>
      </w:r>
    </w:p>
    <w:p>
      <w:pPr>
        <w:spacing w:after="150" w:before="300"/>
      </w:pPr>
      <w:r>
        <w:rPr>
          <w:rFonts w:ascii="Times New Roman" w:cs="Times New Roman" w:eastAsia="Times New Roman" w:hAnsi="Times New Roman"/>
          <w:b/>
          <w:bCs/>
          <w:sz w:val="28"/>
          <w:szCs w:val="28"/>
        </w:rPr>
        <w:t xml:space="preserve">4. Compliance and Governance Analysis</w:t>
      </w:r>
    </w:p>
    <w:p>
      <w:pPr>
        <w:spacing w:after="200" w:line="360"/>
        <w:jc w:val="both"/>
      </w:pPr>
      <w:r>
        <w:rPr>
          <w:rFonts w:ascii="Times New Roman" w:cs="Times New Roman" w:eastAsia="Times New Roman" w:hAnsi="Times New Roman"/>
          <w:sz w:val="24"/>
          <w:szCs w:val="24"/>
        </w:rPr>
        <w:t xml:space="preserve">The HDFC Bank Customer Protection Policy is built around Reserve Bank of India (RBI) regulations, particularly the Master Circular on Customer Service, the RBI's guidelines on limiting customer liability in electronic banking transactions, and the standards set by the Banking Code and Standards Board of India (BCSBI).</w:t>
      </w:r>
    </w:p>
    <w:p>
      <w:pPr>
        <w:spacing w:after="100" w:before="150"/>
      </w:pPr>
      <w:r>
        <w:rPr>
          <w:rFonts w:ascii="Times New Roman" w:cs="Times New Roman" w:eastAsia="Times New Roman" w:hAnsi="Times New Roman"/>
          <w:b/>
          <w:bCs/>
          <w:sz w:val="28"/>
          <w:szCs w:val="28"/>
        </w:rPr>
        <w:t xml:space="preserve">Governance Mechanisms</w:t>
      </w:r>
    </w:p>
    <w:p>
      <w:pPr>
        <w:pStyle w:val="ListParagraph"/>
        <w:numPr>
          <w:ilvl w:val="0"/>
          <w:numId w:val="1"/>
        </w:numPr>
        <w:spacing w:after="100" w:line="360"/>
      </w:pPr>
      <w:r>
        <w:rPr>
          <w:rFonts w:ascii="Times New Roman" w:cs="Times New Roman" w:eastAsia="Times New Roman" w:hAnsi="Times New Roman"/>
          <w:sz w:val="24"/>
          <w:szCs w:val="24"/>
        </w:rPr>
        <w:t xml:space="preserve">A dedicated Grievance Redressal Cell reviews complaints that are not resolved at the first level</w:t>
      </w:r>
    </w:p>
    <w:p>
      <w:pPr>
        <w:pStyle w:val="ListParagraph"/>
        <w:numPr>
          <w:ilvl w:val="0"/>
          <w:numId w:val="1"/>
        </w:numPr>
        <w:spacing w:after="100" w:line="360"/>
      </w:pPr>
      <w:r>
        <w:rPr>
          <w:rFonts w:ascii="Times New Roman" w:cs="Times New Roman" w:eastAsia="Times New Roman" w:hAnsi="Times New Roman"/>
          <w:sz w:val="24"/>
          <w:szCs w:val="24"/>
        </w:rPr>
        <w:t xml:space="preserve">A Principal Nodal Officer is appointed to handle escalated complaints across the bank</w:t>
      </w:r>
    </w:p>
    <w:p>
      <w:pPr>
        <w:pStyle w:val="ListParagraph"/>
        <w:numPr>
          <w:ilvl w:val="0"/>
          <w:numId w:val="1"/>
        </w:numPr>
        <w:spacing w:after="100" w:line="360"/>
      </w:pPr>
      <w:r>
        <w:rPr>
          <w:rFonts w:ascii="Times New Roman" w:cs="Times New Roman" w:eastAsia="Times New Roman" w:hAnsi="Times New Roman"/>
          <w:sz w:val="24"/>
          <w:szCs w:val="24"/>
        </w:rPr>
        <w:t xml:space="preserve">The Regional Business Manager can approve small reimbursements quickly, while larger claims go to senior management</w:t>
      </w:r>
    </w:p>
    <w:p>
      <w:pPr>
        <w:pStyle w:val="ListParagraph"/>
        <w:numPr>
          <w:ilvl w:val="0"/>
          <w:numId w:val="1"/>
        </w:numPr>
        <w:spacing w:after="100" w:line="360"/>
      </w:pPr>
      <w:r>
        <w:rPr>
          <w:rFonts w:ascii="Times New Roman" w:cs="Times New Roman" w:eastAsia="Times New Roman" w:hAnsi="Times New Roman"/>
          <w:sz w:val="24"/>
          <w:szCs w:val="24"/>
        </w:rPr>
        <w:t xml:space="preserve">Customers who remain unsatisfied can approach the RBI's Banking Ombudsman as an independent authority</w:t>
      </w:r>
    </w:p>
    <w:p>
      <w:pPr>
        <w:pStyle w:val="ListParagraph"/>
        <w:numPr>
          <w:ilvl w:val="0"/>
          <w:numId w:val="1"/>
        </w:numPr>
        <w:spacing w:after="100" w:line="360"/>
      </w:pPr>
      <w:r>
        <w:rPr>
          <w:rFonts w:ascii="Times New Roman" w:cs="Times New Roman" w:eastAsia="Times New Roman" w:hAnsi="Times New Roman"/>
          <w:sz w:val="24"/>
          <w:szCs w:val="24"/>
        </w:rPr>
        <w:t xml:space="preserve">The policy is published on the bank's website and made available at branches, as required by RBI rules</w:t>
      </w:r>
    </w:p>
    <w:p>
      <w:pPr>
        <w:spacing w:after="200" w:line="360"/>
        <w:jc w:val="both"/>
      </w:pPr>
      <w:r>
        <w:rPr>
          <w:rFonts w:ascii="Times New Roman" w:cs="Times New Roman" w:eastAsia="Times New Roman" w:hAnsi="Times New Roman"/>
          <w:sz w:val="24"/>
          <w:szCs w:val="24"/>
        </w:rPr>
        <w:t xml:space="preserve">These mechanisms show that HDFC Bank's customer protection framework is closely tied to external regulatory oversight. This is important in banking, because it gives customers an independent authority to approach if the bank itself does not resolve their problem fairly.</w:t>
      </w:r>
    </w:p>
    <w:p>
      <w:pPr>
        <w:spacing w:after="150" w:before="300"/>
      </w:pPr>
      <w:r>
        <w:rPr>
          <w:rFonts w:ascii="Times New Roman" w:cs="Times New Roman" w:eastAsia="Times New Roman" w:hAnsi="Times New Roman"/>
          <w:b/>
          <w:bCs/>
          <w:sz w:val="28"/>
          <w:szCs w:val="28"/>
        </w:rPr>
        <w:t xml:space="preserve">5. Policy Evaluation</w:t>
      </w:r>
    </w:p>
    <w:p>
      <w:pPr>
        <w:spacing w:after="100" w:before="150"/>
      </w:pPr>
      <w:r>
        <w:rPr>
          <w:rFonts w:ascii="Times New Roman" w:cs="Times New Roman" w:eastAsia="Times New Roman" w:hAnsi="Times New Roman"/>
          <w:b/>
          <w:bCs/>
          <w:sz w:val="28"/>
          <w:szCs w:val="28"/>
        </w:rPr>
        <w:t xml:space="preserve">Strengths</w:t>
      </w:r>
    </w:p>
    <w:p>
      <w:pPr>
        <w:pStyle w:val="ListParagraph"/>
        <w:numPr>
          <w:ilvl w:val="0"/>
          <w:numId w:val="1"/>
        </w:numPr>
        <w:spacing w:after="100" w:line="360"/>
      </w:pPr>
      <w:r>
        <w:rPr>
          <w:rFonts w:ascii="Times New Roman" w:cs="Times New Roman" w:eastAsia="Times New Roman" w:hAnsi="Times New Roman"/>
          <w:sz w:val="24"/>
          <w:szCs w:val="24"/>
        </w:rPr>
        <w:t xml:space="preserve">Multiple easy complaint channels, including phone, WhatsApp, email, and branch visits</w:t>
      </w:r>
    </w:p>
    <w:p>
      <w:pPr>
        <w:pStyle w:val="ListParagraph"/>
        <w:numPr>
          <w:ilvl w:val="0"/>
          <w:numId w:val="1"/>
        </w:numPr>
        <w:spacing w:after="100" w:line="360"/>
      </w:pPr>
      <w:r>
        <w:rPr>
          <w:rFonts w:ascii="Times New Roman" w:cs="Times New Roman" w:eastAsia="Times New Roman" w:hAnsi="Times New Roman"/>
          <w:sz w:val="24"/>
          <w:szCs w:val="24"/>
        </w:rPr>
        <w:t xml:space="preserve">Clear escalation path, ending with an independent Banking Ombudsman</w:t>
      </w:r>
    </w:p>
    <w:p>
      <w:pPr>
        <w:pStyle w:val="ListParagraph"/>
        <w:numPr>
          <w:ilvl w:val="0"/>
          <w:numId w:val="1"/>
        </w:numPr>
        <w:spacing w:after="100" w:line="360"/>
      </w:pPr>
      <w:r>
        <w:rPr>
          <w:rFonts w:ascii="Times New Roman" w:cs="Times New Roman" w:eastAsia="Times New Roman" w:hAnsi="Times New Roman"/>
          <w:sz w:val="24"/>
          <w:szCs w:val="24"/>
        </w:rPr>
        <w:t xml:space="preserve">Limited customer liability rules protect customers from major loss in fraud cases</w:t>
      </w:r>
    </w:p>
    <w:p>
      <w:pPr>
        <w:pStyle w:val="ListParagraph"/>
        <w:numPr>
          <w:ilvl w:val="0"/>
          <w:numId w:val="1"/>
        </w:numPr>
        <w:spacing w:after="100" w:line="360"/>
      </w:pPr>
      <w:r>
        <w:rPr>
          <w:rFonts w:ascii="Times New Roman" w:cs="Times New Roman" w:eastAsia="Times New Roman" w:hAnsi="Times New Roman"/>
          <w:sz w:val="24"/>
          <w:szCs w:val="24"/>
        </w:rPr>
        <w:t xml:space="preserve">Public warnings help customers recognise and avoid common banking scams</w:t>
      </w:r>
    </w:p>
    <w:p>
      <w:pPr>
        <w:spacing w:after="100" w:before="150"/>
      </w:pPr>
      <w:r>
        <w:rPr>
          <w:rFonts w:ascii="Times New Roman" w:cs="Times New Roman" w:eastAsia="Times New Roman" w:hAnsi="Times New Roman"/>
          <w:b/>
          <w:bCs/>
          <w:sz w:val="28"/>
          <w:szCs w:val="28"/>
        </w:rPr>
        <w:t xml:space="preserve">Effectiveness and Practicality</w:t>
      </w:r>
    </w:p>
    <w:p>
      <w:pPr>
        <w:spacing w:after="200" w:line="360"/>
        <w:jc w:val="both"/>
      </w:pPr>
      <w:r>
        <w:rPr>
          <w:rFonts w:ascii="Times New Roman" w:cs="Times New Roman" w:eastAsia="Times New Roman" w:hAnsi="Times New Roman"/>
          <w:sz w:val="24"/>
          <w:szCs w:val="24"/>
        </w:rPr>
        <w:t xml:space="preserve">The policy is generally effective, but its real-world performance has been mixed. In several consumer court cases, HDFC Bank was held liable for failing to send SMS alerts for unauthorised transactions or for not resolving customer complaints about fraud in a timely manner. This shows that while the written policy is strong, its application does not always fully protect customers.</w:t>
      </w:r>
    </w:p>
    <w:p>
      <w:pPr>
        <w:spacing w:after="100" w:before="150"/>
      </w:pPr>
      <w:r>
        <w:rPr>
          <w:rFonts w:ascii="Times New Roman" w:cs="Times New Roman" w:eastAsia="Times New Roman" w:hAnsi="Times New Roman"/>
          <w:b/>
          <w:bCs/>
          <w:sz w:val="28"/>
          <w:szCs w:val="28"/>
        </w:rPr>
        <w:t xml:space="preserve">Gaps and Limitations</w:t>
      </w:r>
    </w:p>
    <w:p>
      <w:pPr>
        <w:pStyle w:val="ListParagraph"/>
        <w:numPr>
          <w:ilvl w:val="0"/>
          <w:numId w:val="1"/>
        </w:numPr>
        <w:spacing w:after="100" w:line="360"/>
      </w:pPr>
      <w:r>
        <w:rPr>
          <w:rFonts w:ascii="Times New Roman" w:cs="Times New Roman" w:eastAsia="Times New Roman" w:hAnsi="Times New Roman"/>
          <w:sz w:val="24"/>
          <w:szCs w:val="24"/>
        </w:rPr>
        <w:t xml:space="preserve">Some customers had to approach consumer courts to get compensation, showing that internal resolution is not always effective</w:t>
      </w:r>
    </w:p>
    <w:p>
      <w:pPr>
        <w:pStyle w:val="ListParagraph"/>
        <w:numPr>
          <w:ilvl w:val="0"/>
          <w:numId w:val="1"/>
        </w:numPr>
        <w:spacing w:after="100" w:line="360"/>
      </w:pPr>
      <w:r>
        <w:rPr>
          <w:rFonts w:ascii="Times New Roman" w:cs="Times New Roman" w:eastAsia="Times New Roman" w:hAnsi="Times New Roman"/>
          <w:sz w:val="24"/>
          <w:szCs w:val="24"/>
        </w:rPr>
        <w:t xml:space="preserve">Delays in acting on fraud complaints can increase the customer's financial loss</w:t>
      </w:r>
    </w:p>
    <w:p>
      <w:pPr>
        <w:pStyle w:val="ListParagraph"/>
        <w:numPr>
          <w:ilvl w:val="0"/>
          <w:numId w:val="1"/>
        </w:numPr>
        <w:spacing w:after="100" w:line="360"/>
      </w:pPr>
      <w:r>
        <w:rPr>
          <w:rFonts w:ascii="Times New Roman" w:cs="Times New Roman" w:eastAsia="Times New Roman" w:hAnsi="Times New Roman"/>
          <w:sz w:val="24"/>
          <w:szCs w:val="24"/>
        </w:rPr>
        <w:t xml:space="preserve">Placing the burden of proof on the bank is fair, but disputes over facts still take time to settle</w:t>
      </w:r>
    </w:p>
    <w:p>
      <w:pPr>
        <w:spacing w:after="100" w:before="150"/>
      </w:pPr>
      <w:r>
        <w:rPr>
          <w:rFonts w:ascii="Times New Roman" w:cs="Times New Roman" w:eastAsia="Times New Roman" w:hAnsi="Times New Roman"/>
          <w:b/>
          <w:bCs/>
          <w:sz w:val="28"/>
          <w:szCs w:val="28"/>
        </w:rPr>
        <w:t xml:space="preserve">Comparison with Good Corporate Practice</w:t>
      </w:r>
    </w:p>
    <w:p>
      <w:pPr>
        <w:spacing w:after="200" w:line="360"/>
        <w:jc w:val="both"/>
      </w:pPr>
      <w:r>
        <w:rPr>
          <w:rFonts w:ascii="Times New Roman" w:cs="Times New Roman" w:eastAsia="Times New Roman" w:hAnsi="Times New Roman"/>
          <w:sz w:val="24"/>
          <w:szCs w:val="24"/>
        </w:rPr>
        <w:t xml:space="preserve">Compared to good practice in the banking industry, HDFC Bank's policy follows RBI rules correctly on paper, including limited customer liability and a clear escalation path. However, the consumer court cases suggest that consistent, fast execution across all branches and channels is still an area for improvement.</w:t>
      </w:r>
    </w:p>
    <w:p>
      <w:pPr>
        <w:spacing w:after="150" w:before="300"/>
      </w:pPr>
      <w:r>
        <w:rPr>
          <w:rFonts w:ascii="Times New Roman" w:cs="Times New Roman" w:eastAsia="Times New Roman" w:hAnsi="Times New Roman"/>
          <w:b/>
          <w:bCs/>
          <w:sz w:val="28"/>
          <w:szCs w:val="28"/>
        </w:rPr>
        <w:t xml:space="preserve">6. Business Relevance</w:t>
      </w:r>
    </w:p>
    <w:p>
      <w:pPr>
        <w:spacing w:after="200" w:line="360"/>
        <w:jc w:val="both"/>
      </w:pPr>
      <w:r>
        <w:rPr>
          <w:rFonts w:ascii="Times New Roman" w:cs="Times New Roman" w:eastAsia="Times New Roman" w:hAnsi="Times New Roman"/>
          <w:sz w:val="24"/>
          <w:szCs w:val="24"/>
        </w:rPr>
        <w:t xml:space="preserve">In modern banking, customer protection is central to business success. Trust is the foundation of any bank's relationship with its customers, and a single mishandled fraud case can seriously damage a bank's reputation, especially with the rise of digital banking and online scams.</w:t>
      </w:r>
    </w:p>
    <w:p>
      <w:pPr>
        <w:spacing w:after="100" w:before="150"/>
      </w:pPr>
      <w:r>
        <w:rPr>
          <w:rFonts w:ascii="Times New Roman" w:cs="Times New Roman" w:eastAsia="Times New Roman" w:hAnsi="Times New Roman"/>
          <w:b/>
          <w:bCs/>
          <w:sz w:val="28"/>
          <w:szCs w:val="28"/>
        </w:rPr>
        <w:t xml:space="preserve">Impact on Stakeholders</w:t>
      </w:r>
    </w:p>
    <w:p>
      <w:pPr>
        <w:pStyle w:val="ListParagraph"/>
        <w:numPr>
          <w:ilvl w:val="0"/>
          <w:numId w:val="1"/>
        </w:numPr>
        <w:spacing w:after="100" w:line="360"/>
      </w:pPr>
      <w:r>
        <w:rPr>
          <w:rFonts w:ascii="Times New Roman" w:cs="Times New Roman" w:eastAsia="Times New Roman" w:hAnsi="Times New Roman"/>
          <w:sz w:val="24"/>
          <w:szCs w:val="24"/>
        </w:rPr>
        <w:t xml:space="preserve">Customers gain confidence to use digital banking services without excessive fear of loss</w:t>
      </w:r>
    </w:p>
    <w:p>
      <w:pPr>
        <w:pStyle w:val="ListParagraph"/>
        <w:numPr>
          <w:ilvl w:val="0"/>
          <w:numId w:val="1"/>
        </w:numPr>
        <w:spacing w:after="100" w:line="360"/>
      </w:pPr>
      <w:r>
        <w:rPr>
          <w:rFonts w:ascii="Times New Roman" w:cs="Times New Roman" w:eastAsia="Times New Roman" w:hAnsi="Times New Roman"/>
          <w:sz w:val="24"/>
          <w:szCs w:val="24"/>
        </w:rPr>
        <w:t xml:space="preserve">The bank reduces legal risk by following RBI-mandated liability and compensation rules</w:t>
      </w:r>
    </w:p>
    <w:p>
      <w:pPr>
        <w:pStyle w:val="ListParagraph"/>
        <w:numPr>
          <w:ilvl w:val="0"/>
          <w:numId w:val="1"/>
        </w:numPr>
        <w:spacing w:after="100" w:line="360"/>
      </w:pPr>
      <w:r>
        <w:rPr>
          <w:rFonts w:ascii="Times New Roman" w:cs="Times New Roman" w:eastAsia="Times New Roman" w:hAnsi="Times New Roman"/>
          <w:sz w:val="24"/>
          <w:szCs w:val="24"/>
        </w:rPr>
        <w:t xml:space="preserve">Shareholders benefit from a bank that avoids costly litigation and regulatory penalties</w:t>
      </w:r>
    </w:p>
    <w:p>
      <w:pPr>
        <w:pStyle w:val="ListParagraph"/>
        <w:numPr>
          <w:ilvl w:val="0"/>
          <w:numId w:val="1"/>
        </w:numPr>
        <w:spacing w:after="100" w:line="360"/>
      </w:pPr>
      <w:r>
        <w:rPr>
          <w:rFonts w:ascii="Times New Roman" w:cs="Times New Roman" w:eastAsia="Times New Roman" w:hAnsi="Times New Roman"/>
          <w:sz w:val="24"/>
          <w:szCs w:val="24"/>
        </w:rPr>
        <w:t xml:space="preserve">Regulators see the bank as compliant, which supports its licence to operate</w:t>
      </w:r>
    </w:p>
    <w:p>
      <w:pPr>
        <w:spacing w:after="100" w:before="150"/>
      </w:pPr>
      <w:r>
        <w:rPr>
          <w:rFonts w:ascii="Times New Roman" w:cs="Times New Roman" w:eastAsia="Times New Roman" w:hAnsi="Times New Roman"/>
          <w:b/>
          <w:bCs/>
          <w:sz w:val="28"/>
          <w:szCs w:val="28"/>
        </w:rPr>
        <w:t xml:space="preserve">Contribution to Risk Management and Governance</w:t>
      </w:r>
    </w:p>
    <w:p>
      <w:pPr>
        <w:spacing w:after="200" w:line="360"/>
        <w:jc w:val="both"/>
      </w:pPr>
      <w:r>
        <w:rPr>
          <w:rFonts w:ascii="Times New Roman" w:cs="Times New Roman" w:eastAsia="Times New Roman" w:hAnsi="Times New Roman"/>
          <w:sz w:val="24"/>
          <w:szCs w:val="24"/>
        </w:rPr>
        <w:t xml:space="preserve">A strong customer protection policy reduces the risk of regulatory action, consumer court losses, and reputational harm. It also strengthens corporate governance by making sure customer complaints are handled through a clear, accountable process rather than being ignored or delayed.</w:t>
      </w:r>
    </w:p>
    <w:p>
      <w:pPr>
        <w:spacing w:after="150" w:before="300"/>
      </w:pPr>
      <w:r>
        <w:rPr>
          <w:rFonts w:ascii="Times New Roman" w:cs="Times New Roman" w:eastAsia="Times New Roman" w:hAnsi="Times New Roman"/>
          <w:b/>
          <w:bCs/>
          <w:sz w:val="28"/>
          <w:szCs w:val="28"/>
        </w:rPr>
        <w:t xml:space="preserve">7. Recommendations</w:t>
      </w:r>
    </w:p>
    <w:p>
      <w:pPr>
        <w:pStyle w:val="ListParagraph"/>
        <w:numPr>
          <w:ilvl w:val="0"/>
          <w:numId w:val="1"/>
        </w:numPr>
        <w:spacing w:after="100" w:line="360"/>
      </w:pPr>
      <w:r>
        <w:rPr>
          <w:rFonts w:ascii="Times New Roman" w:cs="Times New Roman" w:eastAsia="Times New Roman" w:hAnsi="Times New Roman"/>
          <w:sz w:val="24"/>
          <w:szCs w:val="24"/>
        </w:rPr>
        <w:t xml:space="preserve">Ensure SMS and app alerts for every transaction work reliably, since missing alerts have caused the bank to lose consumer court cases</w:t>
      </w:r>
    </w:p>
    <w:p>
      <w:pPr>
        <w:pStyle w:val="ListParagraph"/>
        <w:numPr>
          <w:ilvl w:val="0"/>
          <w:numId w:val="1"/>
        </w:numPr>
        <w:spacing w:after="100" w:line="360"/>
      </w:pPr>
      <w:r>
        <w:rPr>
          <w:rFonts w:ascii="Times New Roman" w:cs="Times New Roman" w:eastAsia="Times New Roman" w:hAnsi="Times New Roman"/>
          <w:sz w:val="24"/>
          <w:szCs w:val="24"/>
        </w:rPr>
        <w:t xml:space="preserve">Reduce the time taken to resolve fraud-related complaints, especially for unauthorised digital transactions</w:t>
      </w:r>
    </w:p>
    <w:p>
      <w:pPr>
        <w:pStyle w:val="ListParagraph"/>
        <w:numPr>
          <w:ilvl w:val="0"/>
          <w:numId w:val="1"/>
        </w:numPr>
        <w:spacing w:after="100" w:line="360"/>
      </w:pPr>
      <w:r>
        <w:rPr>
          <w:rFonts w:ascii="Times New Roman" w:cs="Times New Roman" w:eastAsia="Times New Roman" w:hAnsi="Times New Roman"/>
          <w:sz w:val="24"/>
          <w:szCs w:val="24"/>
        </w:rPr>
        <w:t xml:space="preserve">Train branch and call centre staff regularly so that customers are not forced to escalate simple issues to consumer courts</w:t>
      </w:r>
    </w:p>
    <w:p>
      <w:pPr>
        <w:pStyle w:val="ListParagraph"/>
        <w:numPr>
          <w:ilvl w:val="0"/>
          <w:numId w:val="1"/>
        </w:numPr>
        <w:spacing w:after="100" w:line="360"/>
      </w:pPr>
      <w:r>
        <w:rPr>
          <w:rFonts w:ascii="Times New Roman" w:cs="Times New Roman" w:eastAsia="Times New Roman" w:hAnsi="Times New Roman"/>
          <w:sz w:val="24"/>
          <w:szCs w:val="24"/>
        </w:rPr>
        <w:t xml:space="preserve">Increase customer education on recognising scams, alongside the existing safety warnings on the website</w:t>
      </w:r>
    </w:p>
    <w:p>
      <w:pPr>
        <w:pStyle w:val="ListParagraph"/>
        <w:numPr>
          <w:ilvl w:val="0"/>
          <w:numId w:val="1"/>
        </w:numPr>
        <w:spacing w:after="100" w:line="360"/>
      </w:pPr>
      <w:r>
        <w:rPr>
          <w:rFonts w:ascii="Times New Roman" w:cs="Times New Roman" w:eastAsia="Times New Roman" w:hAnsi="Times New Roman"/>
          <w:sz w:val="24"/>
          <w:szCs w:val="24"/>
        </w:rPr>
        <w:t xml:space="preserve">Track and publish complaint resolution timelines internally to identify branches or channels that are falling behind</w:t>
      </w:r>
    </w:p>
    <w:p>
      <w:pPr>
        <w:spacing w:after="150" w:before="300"/>
      </w:pPr>
      <w:r>
        <w:rPr>
          <w:rFonts w:ascii="Times New Roman" w:cs="Times New Roman" w:eastAsia="Times New Roman" w:hAnsi="Times New Roman"/>
          <w:b/>
          <w:bCs/>
          <w:sz w:val="28"/>
          <w:szCs w:val="28"/>
        </w:rPr>
        <w:t xml:space="preserve">8. Conclusion</w:t>
      </w:r>
    </w:p>
    <w:p>
      <w:pPr>
        <w:spacing w:after="200" w:line="360"/>
        <w:jc w:val="both"/>
      </w:pPr>
      <w:r>
        <w:rPr>
          <w:rFonts w:ascii="Times New Roman" w:cs="Times New Roman" w:eastAsia="Times New Roman" w:hAnsi="Times New Roman"/>
          <w:sz w:val="24"/>
          <w:szCs w:val="24"/>
        </w:rPr>
        <w:t xml:space="preserve">The HDFC Bank Customer Protection Policy is a well-structured framework that follows RBI guidelines on grievance redressal, limited customer liability, and compensation. It gives customers multiple ways to complain and a clear path to escalate unresolved issues, ending with the independent Banking Ombudsman.</w:t>
      </w:r>
    </w:p>
    <w:p>
      <w:pPr>
        <w:spacing w:after="200" w:line="360"/>
        <w:jc w:val="both"/>
      </w:pPr>
      <w:r>
        <w:rPr>
          <w:rFonts w:ascii="Times New Roman" w:cs="Times New Roman" w:eastAsia="Times New Roman" w:hAnsi="Times New Roman"/>
          <w:sz w:val="24"/>
          <w:szCs w:val="24"/>
        </w:rPr>
        <w:t xml:space="preserve">From this review, it is clear that having a strong written policy is not enough on its own. Real cases show that banks must also act quickly and fairly in practice, especially in fraud and unauthorised transaction cases, to truly protect customers and avoid legal disputes.</w:t>
      </w:r>
    </w:p>
    <w:p>
      <w:pPr>
        <w:spacing w:after="200" w:line="360"/>
        <w:jc w:val="both"/>
      </w:pPr>
      <w:r>
        <w:rPr>
          <w:rFonts w:ascii="Times New Roman" w:cs="Times New Roman" w:eastAsia="Times New Roman" w:hAnsi="Times New Roman"/>
          <w:sz w:val="24"/>
          <w:szCs w:val="24"/>
        </w:rPr>
        <w:t xml:space="preserve">Overall, this review highlights that a strong Banking Customer Protection Policy is essential for maintaining customer trust, supporting regulatory compliance, and protecting a bank's long-term reputation in a digital-first economy.</w:t>
      </w:r>
    </w:p>
    <w:p>
      <w:pPr>
        <w:spacing w:after="150" w:before="300"/>
      </w:pPr>
      <w:r>
        <w:rPr>
          <w:rFonts w:ascii="Times New Roman" w:cs="Times New Roman" w:eastAsia="Times New Roman" w:hAnsi="Times New Roman"/>
          <w:b/>
          <w:bCs/>
          <w:sz w:val="28"/>
          <w:szCs w:val="28"/>
        </w:rPr>
        <w:t xml:space="preserve">9. References</w:t>
      </w:r>
    </w:p>
    <w:p>
      <w:pPr>
        <w:pStyle w:val="ListParagraph"/>
        <w:numPr>
          <w:ilvl w:val="0"/>
          <w:numId w:val="1"/>
        </w:numPr>
        <w:spacing w:after="100" w:line="360"/>
      </w:pPr>
      <w:r>
        <w:rPr>
          <w:rFonts w:ascii="Times New Roman" w:cs="Times New Roman" w:eastAsia="Times New Roman" w:hAnsi="Times New Roman"/>
          <w:sz w:val="24"/>
          <w:szCs w:val="24"/>
        </w:rPr>
        <w:t xml:space="preserve">HDFC Bank. Customer Compensation Policy. Available at: https://leads.hdfcbank.com/common/pdf/customer_compensation_policy.pdf</w:t>
      </w:r>
    </w:p>
    <w:p>
      <w:pPr>
        <w:pStyle w:val="ListParagraph"/>
        <w:numPr>
          <w:ilvl w:val="0"/>
          <w:numId w:val="1"/>
        </w:numPr>
        <w:spacing w:after="100" w:line="360"/>
      </w:pPr>
      <w:r>
        <w:rPr>
          <w:rFonts w:ascii="Times New Roman" w:cs="Times New Roman" w:eastAsia="Times New Roman" w:hAnsi="Times New Roman"/>
          <w:sz w:val="24"/>
          <w:szCs w:val="24"/>
        </w:rPr>
        <w:t xml:space="preserve">HDFC Bank. Grievance Redressal Policy.</w:t>
      </w:r>
    </w:p>
    <w:p>
      <w:pPr>
        <w:pStyle w:val="ListParagraph"/>
        <w:numPr>
          <w:ilvl w:val="0"/>
          <w:numId w:val="1"/>
        </w:numPr>
        <w:spacing w:after="100" w:line="360"/>
      </w:pPr>
      <w:r>
        <w:rPr>
          <w:rFonts w:ascii="Times New Roman" w:cs="Times New Roman" w:eastAsia="Times New Roman" w:hAnsi="Times New Roman"/>
          <w:sz w:val="24"/>
          <w:szCs w:val="24"/>
        </w:rPr>
        <w:t xml:space="preserve">LiveLaw. "Failure To Provide SMS Alerts For Unauthorized Transactions, NCDRC Holds HDFC Bank Liable," July 2024.</w:t>
      </w:r>
    </w:p>
    <w:p>
      <w:pPr>
        <w:pStyle w:val="ListParagraph"/>
        <w:numPr>
          <w:ilvl w:val="0"/>
          <w:numId w:val="1"/>
        </w:numPr>
        <w:spacing w:after="100" w:line="360"/>
      </w:pPr>
      <w:r>
        <w:rPr>
          <w:rFonts w:ascii="Times New Roman" w:cs="Times New Roman" w:eastAsia="Times New Roman" w:hAnsi="Times New Roman"/>
          <w:sz w:val="24"/>
          <w:szCs w:val="24"/>
        </w:rPr>
        <w:t xml:space="preserve">LiveLaw. "Bangalore District Commission Holds HDFC Bank, Kotak Mahindra Bank Liable for Unauthorized Transactions."</w:t>
      </w:r>
    </w:p>
    <w:p>
      <w:pPr>
        <w:pStyle w:val="ListParagraph"/>
        <w:numPr>
          <w:ilvl w:val="0"/>
          <w:numId w:val="1"/>
        </w:numPr>
        <w:spacing w:after="100" w:line="360"/>
      </w:pPr>
      <w:r>
        <w:rPr>
          <w:rFonts w:ascii="Times New Roman" w:cs="Times New Roman" w:eastAsia="Times New Roman" w:hAnsi="Times New Roman"/>
          <w:sz w:val="24"/>
          <w:szCs w:val="24"/>
        </w:rPr>
        <w:t xml:space="preserve">Reserve Bank of India. Master Circular on Customer Service and Guidelines on Limiting Liability of Customers in Unauthorised Electronic Banking Transactions.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2026-09-25T08:55:48.504Z</dcterms:created>
  <dcterms:modified xsi:type="dcterms:W3CDTF">2026-09-25T08:55:48.512Z</dcterms:modified>
</cp:coreProperties>
</file>

<file path=docProps/custom.xml><?xml version="1.0" encoding="utf-8"?>
<Properties xmlns="http://schemas.openxmlformats.org/officeDocument/2006/custom-properties" xmlns:vt="http://schemas.openxmlformats.org/officeDocument/2006/docPropsVTypes"/>
</file>