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0"/>
        <w:jc w:val="center"/>
      </w:pPr>
      <w:r>
        <w:rPr>
          <w:rFonts w:ascii="Times New Roman" w:cs="Times New Roman" w:eastAsia="Times New Roman" w:hAnsi="Times New Roman"/>
          <w:b/>
          <w:bCs/>
          <w:sz w:val="36"/>
          <w:szCs w:val="36"/>
        </w:rPr>
        <w:t xml:space="preserve">CORPORATE POLICY REVIEW REPORT</w:t>
      </w:r>
    </w:p>
    <w:p>
      <w:pPr>
        <w:spacing w:after="200"/>
        <w:jc w:val="center"/>
      </w:pPr>
      <w:r>
        <w:rPr>
          <w:rFonts w:ascii="Times New Roman" w:cs="Times New Roman" w:eastAsia="Times New Roman" w:hAnsi="Times New Roman"/>
          <w:b/>
          <w:bCs/>
          <w:sz w:val="30"/>
          <w:szCs w:val="30"/>
        </w:rPr>
        <w:t xml:space="preserve">Employee Code of Conduct</w:t>
      </w:r>
    </w:p>
    <w:p>
      <w:pPr>
        <w:spacing w:after="1600"/>
        <w:jc w:val="center"/>
      </w:pPr>
      <w:r>
        <w:rPr>
          <w:rFonts w:ascii="Times New Roman" w:cs="Times New Roman" w:eastAsia="Times New Roman" w:hAnsi="Times New Roman"/>
          <w:i/>
          <w:iCs/>
          <w:sz w:val="26"/>
          <w:szCs w:val="26"/>
        </w:rPr>
        <w:t xml:space="preserve">A Review of the Tata Code of Conduct</w:t>
      </w:r>
    </w:p>
    <w:p>
      <w:pPr>
        <w:spacing w:after="1600"/>
        <w:jc w:val="center"/>
      </w:pPr>
      <w:r>
        <w:rPr>
          <w:rFonts w:ascii="Times New Roman" w:cs="Times New Roman" w:eastAsia="Times New Roman" w:hAnsi="Times New Roman"/>
          <w:sz w:val="26"/>
          <w:szCs w:val="26"/>
        </w:rPr>
        <w:t xml:space="preserve">Organization Reviewed: Tata Consultancy Services (TCS)</w:t>
      </w:r>
    </w:p>
    <w:p>
      <w:pPr>
        <w:spacing w:after="150"/>
        <w:jc w:val="center"/>
      </w:pPr>
      <w:r>
        <w:rPr>
          <w:rFonts w:ascii="Times New Roman" w:cs="Times New Roman" w:eastAsia="Times New Roman" w:hAnsi="Times New Roman"/>
          <w:sz w:val="24"/>
          <w:szCs w:val="24"/>
        </w:rPr>
        <w:t xml:space="preserve">Submitted by</w:t>
      </w:r>
    </w:p>
    <w:p>
      <w:pPr>
        <w:spacing w:after="100"/>
        <w:jc w:val="center"/>
      </w:pPr>
      <w:r>
        <w:rPr>
          <w:rFonts w:ascii="Times New Roman" w:cs="Times New Roman" w:eastAsia="Times New Roman" w:hAnsi="Times New Roman"/>
          <w:b/>
          <w:bCs/>
          <w:sz w:val="26"/>
          <w:szCs w:val="26"/>
        </w:rPr>
        <w:t xml:space="preserve">Name: Manoj Kumar K</w:t>
      </w:r>
    </w:p>
    <w:p>
      <w:pPr>
        <w:spacing w:after="100"/>
        <w:jc w:val="center"/>
      </w:pPr>
      <w:r>
        <w:rPr>
          <w:rFonts w:ascii="Times New Roman" w:cs="Times New Roman" w:eastAsia="Times New Roman" w:hAnsi="Times New Roman"/>
          <w:sz w:val="26"/>
          <w:szCs w:val="26"/>
        </w:rPr>
        <w:t xml:space="preserve">Register Number: 5272510210</w:t>
      </w:r>
    </w:p>
    <w:p>
      <w:pPr>
        <w:spacing w:after="100"/>
        <w:jc w:val="center"/>
      </w:pPr>
      <w:r>
        <w:rPr>
          <w:rFonts w:ascii="Times New Roman" w:cs="Times New Roman" w:eastAsia="Times New Roman" w:hAnsi="Times New Roman"/>
          <w:sz w:val="26"/>
          <w:szCs w:val="26"/>
        </w:rPr>
        <w:t xml:space="preserve">Course: B.Com Fintech with AI</w:t>
      </w:r>
    </w:p>
    <w:p>
      <w:pPr>
        <w:spacing w:after="100"/>
        <w:jc w:val="center"/>
      </w:pPr>
      <w:r>
        <w:rPr>
          <w:rFonts w:ascii="Times New Roman" w:cs="Times New Roman" w:eastAsia="Times New Roman" w:hAnsi="Times New Roman"/>
          <w:sz w:val="26"/>
          <w:szCs w:val="26"/>
        </w:rPr>
        <w:t xml:space="preserve">Activity Title: Corporate Policy Review Report</w:t>
      </w:r>
    </w:p>
    <w:p>
      <w:pPr>
        <w:spacing w:after="100"/>
        <w:jc w:val="center"/>
      </w:pPr>
      <w:r>
        <w:rPr>
          <w:rFonts w:ascii="Times New Roman" w:cs="Times New Roman" w:eastAsia="Times New Roman" w:hAnsi="Times New Roman"/>
          <w:sz w:val="26"/>
          <w:szCs w:val="26"/>
        </w:rPr>
        <w:t xml:space="preserve">Policy Name: Employee Code of Conduct</w:t>
      </w:r>
    </w:p>
    <w:p>
      <w:r>
        <w:br w:type="page"/>
      </w:r>
    </w:p>
    <w:p>
      <w:pPr>
        <w:spacing w:after="150" w:before="30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Tata Consultancy Services (TCS) is one of the largest IT services, consulting, and business solutions companies in the world. It is a part of the Tata Group, one of India's oldest and most respected business houses. TCS operates in more than 55 countries and employs hundreds of thousands of people from different cultures and backgrounds. Because the company works with so many clients and employees across the globe, it needs clear rules to guide how its people behave at work.</w:t>
      </w:r>
    </w:p>
    <w:p>
      <w:pPr>
        <w:spacing w:after="200" w:line="360"/>
        <w:jc w:val="both"/>
      </w:pPr>
      <w:r>
        <w:rPr>
          <w:rFonts w:ascii="Times New Roman" w:cs="Times New Roman" w:eastAsia="Times New Roman" w:hAnsi="Times New Roman"/>
          <w:sz w:val="24"/>
          <w:szCs w:val="24"/>
        </w:rPr>
        <w:t xml:space="preserve">The policy chosen for this review is the Employee Code of Conduct, known within the Tata Group as the Tata Code of Conduct (TCoC). This policy explains how every employee of TCS, from a new joiner to a senior leader, is expected to behave in the workplace. It covers honesty, respect, fairness, and responsibility towards colleagues, clients, and society.</w:t>
      </w:r>
    </w:p>
    <w:p>
      <w:pPr>
        <w:spacing w:after="200" w:line="360"/>
        <w:jc w:val="both"/>
      </w:pPr>
      <w:r>
        <w:rPr>
          <w:rFonts w:ascii="Times New Roman" w:cs="Times New Roman" w:eastAsia="Times New Roman" w:hAnsi="Times New Roman"/>
          <w:sz w:val="24"/>
          <w:szCs w:val="24"/>
        </w:rPr>
        <w:t xml:space="preserve">The purpose of reviewing this policy is to understand how TCS uses the Code of Conduct to build an ethical and disciplined work culture. This report looks at what the policy contains, how well it works, and what can be improved, so that its value in real business life can be better understood.</w:t>
      </w:r>
    </w:p>
    <w:p>
      <w:pPr>
        <w:spacing w:after="150" w:before="300"/>
      </w:pPr>
      <w:r>
        <w:rPr>
          <w:rFonts w:ascii="Times New Roman" w:cs="Times New Roman" w:eastAsia="Times New Roman" w:hAnsi="Times New Roman"/>
          <w:b/>
          <w:bCs/>
          <w:sz w:val="28"/>
          <w:szCs w:val="28"/>
        </w:rPr>
        <w:t xml:space="preserve">2. Policy Overview</w:t>
      </w:r>
    </w:p>
    <w:p>
      <w:pPr>
        <w:spacing w:after="200" w:line="360"/>
        <w:jc w:val="both"/>
      </w:pPr>
      <w:r>
        <w:rPr>
          <w:rFonts w:ascii="Times New Roman" w:cs="Times New Roman" w:eastAsia="Times New Roman" w:hAnsi="Times New Roman"/>
          <w:sz w:val="24"/>
          <w:szCs w:val="24"/>
        </w:rPr>
        <w:t xml:space="preserve">The Tata Code of Conduct is an ethics and behaviour policy that applies to all employees, directors, and associates of TCS and other Tata companies. It is not just a rule book; it is described by the company as a moral compass that guides daily decisions and actions at work.</w:t>
      </w:r>
    </w:p>
    <w:p>
      <w:pPr>
        <w:spacing w:after="100" w:before="150"/>
      </w:pPr>
      <w:r>
        <w:rPr>
          <w:rFonts w:ascii="Times New Roman" w:cs="Times New Roman" w:eastAsia="Times New Roman" w:hAnsi="Times New Roman"/>
          <w:b/>
          <w:bCs/>
          <w:i w:val="false"/>
          <w:iCs w:val="false"/>
          <w:sz w:val="28"/>
          <w:szCs w:val="28"/>
        </w:rPr>
        <w:t xml:space="preserve">Scope of the Policy</w:t>
      </w:r>
    </w:p>
    <w:p>
      <w:pPr>
        <w:spacing w:after="200" w:line="360"/>
        <w:jc w:val="both"/>
      </w:pPr>
      <w:r>
        <w:rPr>
          <w:rFonts w:ascii="Times New Roman" w:cs="Times New Roman" w:eastAsia="Times New Roman" w:hAnsi="Times New Roman"/>
          <w:sz w:val="24"/>
          <w:szCs w:val="24"/>
        </w:rPr>
        <w:t xml:space="preserve">The Code of Conduct applies to every employee of TCS, at every level and in every country where the company operates. It also extends, in principle, to business partners and vendors who are expected to follow similar ethical standards while working with TCS.</w:t>
      </w:r>
    </w:p>
    <w:p>
      <w:pPr>
        <w:spacing w:after="100" w:before="150"/>
      </w:pPr>
      <w:r>
        <w:rPr>
          <w:rFonts w:ascii="Times New Roman" w:cs="Times New Roman" w:eastAsia="Times New Roman" w:hAnsi="Times New Roman"/>
          <w:b/>
          <w:bCs/>
          <w:i w:val="false"/>
          <w:iCs w:val="false"/>
          <w:sz w:val="28"/>
          <w:szCs w:val="28"/>
        </w:rPr>
        <w:t xml:space="preserve">Stakeholders Covered</w:t>
      </w:r>
    </w:p>
    <w:p>
      <w:pPr>
        <w:pStyle w:val="ListParagraph"/>
        <w:numPr>
          <w:ilvl w:val="0"/>
          <w:numId w:val="1"/>
        </w:numPr>
        <w:spacing w:after="100" w:line="360"/>
      </w:pPr>
      <w:r>
        <w:rPr>
          <w:rFonts w:ascii="Times New Roman" w:cs="Times New Roman" w:eastAsia="Times New Roman" w:hAnsi="Times New Roman"/>
          <w:sz w:val="24"/>
          <w:szCs w:val="24"/>
        </w:rPr>
        <w:t xml:space="preserve">All employees, from trainees to top management</w:t>
      </w:r>
    </w:p>
    <w:p>
      <w:pPr>
        <w:pStyle w:val="ListParagraph"/>
        <w:numPr>
          <w:ilvl w:val="0"/>
          <w:numId w:val="1"/>
        </w:numPr>
        <w:spacing w:after="100" w:line="360"/>
      </w:pPr>
      <w:r>
        <w:rPr>
          <w:rFonts w:ascii="Times New Roman" w:cs="Times New Roman" w:eastAsia="Times New Roman" w:hAnsi="Times New Roman"/>
          <w:sz w:val="24"/>
          <w:szCs w:val="24"/>
        </w:rPr>
        <w:t xml:space="preserve">Directors and Board members</w:t>
      </w:r>
    </w:p>
    <w:p>
      <w:pPr>
        <w:pStyle w:val="ListParagraph"/>
        <w:numPr>
          <w:ilvl w:val="0"/>
          <w:numId w:val="1"/>
        </w:numPr>
        <w:spacing w:after="100" w:line="360"/>
      </w:pPr>
      <w:r>
        <w:rPr>
          <w:rFonts w:ascii="Times New Roman" w:cs="Times New Roman" w:eastAsia="Times New Roman" w:hAnsi="Times New Roman"/>
          <w:sz w:val="24"/>
          <w:szCs w:val="24"/>
        </w:rPr>
        <w:t xml:space="preserve">Clients and business partners who interact with TCS employees</w:t>
      </w:r>
    </w:p>
    <w:p>
      <w:pPr>
        <w:pStyle w:val="ListParagraph"/>
        <w:numPr>
          <w:ilvl w:val="0"/>
          <w:numId w:val="1"/>
        </w:numPr>
        <w:spacing w:after="100" w:line="360"/>
      </w:pPr>
      <w:r>
        <w:rPr>
          <w:rFonts w:ascii="Times New Roman" w:cs="Times New Roman" w:eastAsia="Times New Roman" w:hAnsi="Times New Roman"/>
          <w:sz w:val="24"/>
          <w:szCs w:val="24"/>
        </w:rPr>
        <w:t xml:space="preserve">Vendors and suppliers connected to TCS operations</w:t>
      </w:r>
    </w:p>
    <w:p>
      <w:pPr>
        <w:pStyle w:val="ListParagraph"/>
        <w:numPr>
          <w:ilvl w:val="0"/>
          <w:numId w:val="1"/>
        </w:numPr>
        <w:spacing w:after="100" w:line="360"/>
      </w:pPr>
      <w:r>
        <w:rPr>
          <w:rFonts w:ascii="Times New Roman" w:cs="Times New Roman" w:eastAsia="Times New Roman" w:hAnsi="Times New Roman"/>
          <w:sz w:val="24"/>
          <w:szCs w:val="24"/>
        </w:rPr>
        <w:t xml:space="preserve">Shareholders and the wider community</w:t>
      </w:r>
    </w:p>
    <w:p>
      <w:pPr>
        <w:spacing w:after="100" w:before="150"/>
      </w:pPr>
      <w:r>
        <w:rPr>
          <w:rFonts w:ascii="Times New Roman" w:cs="Times New Roman" w:eastAsia="Times New Roman" w:hAnsi="Times New Roman"/>
          <w:b/>
          <w:bCs/>
          <w:i w:val="false"/>
          <w:iCs w:val="false"/>
          <w:sz w:val="28"/>
          <w:szCs w:val="28"/>
        </w:rPr>
        <w:t xml:space="preserve">Key Objectives of the Policy</w:t>
      </w:r>
    </w:p>
    <w:p>
      <w:pPr>
        <w:pStyle w:val="ListParagraph"/>
        <w:numPr>
          <w:ilvl w:val="0"/>
          <w:numId w:val="1"/>
        </w:numPr>
        <w:spacing w:after="100" w:line="360"/>
      </w:pPr>
      <w:r>
        <w:rPr>
          <w:rFonts w:ascii="Times New Roman" w:cs="Times New Roman" w:eastAsia="Times New Roman" w:hAnsi="Times New Roman"/>
          <w:sz w:val="24"/>
          <w:szCs w:val="24"/>
        </w:rPr>
        <w:t xml:space="preserve">To promote honesty, integrity, and fairness in all business dealings</w:t>
      </w:r>
    </w:p>
    <w:p>
      <w:pPr>
        <w:pStyle w:val="ListParagraph"/>
        <w:numPr>
          <w:ilvl w:val="0"/>
          <w:numId w:val="1"/>
        </w:numPr>
        <w:spacing w:after="100" w:line="360"/>
      </w:pPr>
      <w:r>
        <w:rPr>
          <w:rFonts w:ascii="Times New Roman" w:cs="Times New Roman" w:eastAsia="Times New Roman" w:hAnsi="Times New Roman"/>
          <w:sz w:val="24"/>
          <w:szCs w:val="24"/>
        </w:rPr>
        <w:t xml:space="preserve">To protect the rights and dignity of every employee</w:t>
      </w:r>
    </w:p>
    <w:p>
      <w:pPr>
        <w:pStyle w:val="ListParagraph"/>
        <w:numPr>
          <w:ilvl w:val="0"/>
          <w:numId w:val="1"/>
        </w:numPr>
        <w:spacing w:after="100" w:line="360"/>
      </w:pPr>
      <w:r>
        <w:rPr>
          <w:rFonts w:ascii="Times New Roman" w:cs="Times New Roman" w:eastAsia="Times New Roman" w:hAnsi="Times New Roman"/>
          <w:sz w:val="24"/>
          <w:szCs w:val="24"/>
        </w:rPr>
        <w:t xml:space="preserve">To prevent corruption, bribery, and conflicts of interest</w:t>
      </w:r>
    </w:p>
    <w:p>
      <w:pPr>
        <w:pStyle w:val="ListParagraph"/>
        <w:numPr>
          <w:ilvl w:val="0"/>
          <w:numId w:val="1"/>
        </w:numPr>
        <w:spacing w:after="100" w:line="360"/>
      </w:pPr>
      <w:r>
        <w:rPr>
          <w:rFonts w:ascii="Times New Roman" w:cs="Times New Roman" w:eastAsia="Times New Roman" w:hAnsi="Times New Roman"/>
          <w:sz w:val="24"/>
          <w:szCs w:val="24"/>
        </w:rPr>
        <w:t xml:space="preserve">To build trust with clients, partners, and the public</w:t>
      </w:r>
    </w:p>
    <w:p>
      <w:pPr>
        <w:pStyle w:val="ListParagraph"/>
        <w:numPr>
          <w:ilvl w:val="0"/>
          <w:numId w:val="1"/>
        </w:numPr>
        <w:spacing w:after="100" w:line="360"/>
      </w:pPr>
      <w:r>
        <w:rPr>
          <w:rFonts w:ascii="Times New Roman" w:cs="Times New Roman" w:eastAsia="Times New Roman" w:hAnsi="Times New Roman"/>
          <w:sz w:val="24"/>
          <w:szCs w:val="24"/>
        </w:rPr>
        <w:t xml:space="preserve">To create a safe and respectful workplace for everyone</w:t>
      </w:r>
    </w:p>
    <w:p>
      <w:pPr>
        <w:spacing w:after="150" w:before="300"/>
      </w:pPr>
      <w:r>
        <w:rPr>
          <w:rFonts w:ascii="Times New Roman" w:cs="Times New Roman" w:eastAsia="Times New Roman" w:hAnsi="Times New Roman"/>
          <w:b/>
          <w:bCs/>
          <w:sz w:val="28"/>
          <w:szCs w:val="28"/>
        </w:rPr>
        <w:t xml:space="preserve">3. Key Provisions of the Policy</w:t>
      </w:r>
    </w:p>
    <w:p>
      <w:pPr>
        <w:spacing w:after="200" w:line="360"/>
        <w:jc w:val="both"/>
      </w:pPr>
      <w:r>
        <w:rPr>
          <w:rFonts w:ascii="Times New Roman" w:cs="Times New Roman" w:eastAsia="Times New Roman" w:hAnsi="Times New Roman"/>
          <w:sz w:val="24"/>
          <w:szCs w:val="24"/>
        </w:rPr>
        <w:t xml:space="preserve">The Employee Code of Conduct at TCS covers several important areas of workplace behaviour. The main provisions are explained below.</w:t>
      </w:r>
    </w:p>
    <w:p>
      <w:pPr>
        <w:spacing w:after="100" w:before="150"/>
      </w:pPr>
      <w:r>
        <w:rPr>
          <w:rFonts w:ascii="Times New Roman" w:cs="Times New Roman" w:eastAsia="Times New Roman" w:hAnsi="Times New Roman"/>
          <w:b/>
          <w:bCs/>
          <w:i w:val="false"/>
          <w:iCs w:val="false"/>
          <w:sz w:val="28"/>
          <w:szCs w:val="28"/>
        </w:rPr>
        <w:t xml:space="preserve">Workplace Conduct and Professionalism</w:t>
      </w:r>
    </w:p>
    <w:p>
      <w:pPr>
        <w:spacing w:after="200" w:line="360"/>
        <w:jc w:val="both"/>
      </w:pPr>
      <w:r>
        <w:rPr>
          <w:rFonts w:ascii="Times New Roman" w:cs="Times New Roman" w:eastAsia="Times New Roman" w:hAnsi="Times New Roman"/>
          <w:sz w:val="24"/>
          <w:szCs w:val="24"/>
        </w:rPr>
        <w:t xml:space="preserve">Employees are expected to behave professionally, treat colleagues with respect, and maintain discipline in the workplace. This includes punctuality, proper use of company resources, and courteous communication.</w:t>
      </w:r>
    </w:p>
    <w:p>
      <w:pPr>
        <w:spacing w:after="100" w:before="150"/>
      </w:pPr>
      <w:r>
        <w:rPr>
          <w:rFonts w:ascii="Times New Roman" w:cs="Times New Roman" w:eastAsia="Times New Roman" w:hAnsi="Times New Roman"/>
          <w:b/>
          <w:bCs/>
          <w:i w:val="false"/>
          <w:iCs w:val="false"/>
          <w:sz w:val="28"/>
          <w:szCs w:val="28"/>
        </w:rPr>
        <w:t xml:space="preserve">Conflict of Interest</w:t>
      </w:r>
    </w:p>
    <w:p>
      <w:pPr>
        <w:spacing w:after="200" w:line="360"/>
        <w:jc w:val="both"/>
      </w:pPr>
      <w:r>
        <w:rPr>
          <w:rFonts w:ascii="Times New Roman" w:cs="Times New Roman" w:eastAsia="Times New Roman" w:hAnsi="Times New Roman"/>
          <w:sz w:val="24"/>
          <w:szCs w:val="24"/>
        </w:rPr>
        <w:t xml:space="preserve">Employees must avoid situations where their personal interests could clash with the interests of TCS. For example, an employee should not accept gifts or favours from a client that could influence a business decision.</w:t>
      </w:r>
    </w:p>
    <w:p>
      <w:pPr>
        <w:spacing w:after="100" w:before="150"/>
      </w:pPr>
      <w:r>
        <w:rPr>
          <w:rFonts w:ascii="Times New Roman" w:cs="Times New Roman" w:eastAsia="Times New Roman" w:hAnsi="Times New Roman"/>
          <w:b/>
          <w:bCs/>
          <w:i w:val="false"/>
          <w:iCs w:val="false"/>
          <w:sz w:val="28"/>
          <w:szCs w:val="28"/>
        </w:rPr>
        <w:t xml:space="preserve">Prevention of Harassment</w:t>
      </w:r>
    </w:p>
    <w:p>
      <w:pPr>
        <w:spacing w:after="200" w:line="360"/>
        <w:jc w:val="both"/>
      </w:pPr>
      <w:r>
        <w:rPr>
          <w:rFonts w:ascii="Times New Roman" w:cs="Times New Roman" w:eastAsia="Times New Roman" w:hAnsi="Times New Roman"/>
          <w:sz w:val="24"/>
          <w:szCs w:val="24"/>
        </w:rPr>
        <w:t xml:space="preserve">The policy has a strict stand against any form of harassment, including sexual harassment, bullying, or discrimination based on gender, religion, caste, or nationality. TCS has dedicated committees to handle such complaints fairly and confidentially.</w:t>
      </w:r>
    </w:p>
    <w:p>
      <w:pPr>
        <w:spacing w:after="100" w:before="150"/>
      </w:pPr>
      <w:r>
        <w:rPr>
          <w:rFonts w:ascii="Times New Roman" w:cs="Times New Roman" w:eastAsia="Times New Roman" w:hAnsi="Times New Roman"/>
          <w:b/>
          <w:bCs/>
          <w:i w:val="false"/>
          <w:iCs w:val="false"/>
          <w:sz w:val="28"/>
          <w:szCs w:val="28"/>
        </w:rPr>
        <w:t xml:space="preserve">Confidentiality and Protection of Information</w:t>
      </w:r>
    </w:p>
    <w:p>
      <w:pPr>
        <w:spacing w:after="200" w:line="360"/>
        <w:jc w:val="both"/>
      </w:pPr>
      <w:r>
        <w:rPr>
          <w:rFonts w:ascii="Times New Roman" w:cs="Times New Roman" w:eastAsia="Times New Roman" w:hAnsi="Times New Roman"/>
          <w:sz w:val="24"/>
          <w:szCs w:val="24"/>
        </w:rPr>
        <w:t xml:space="preserve">Employees handle sensitive client and company data every day. The Code requires them to protect this information carefully and not share it with unauthorised persons, both during and after their employment with TCS.</w:t>
      </w:r>
    </w:p>
    <w:p>
      <w:pPr>
        <w:spacing w:after="100" w:before="150"/>
      </w:pPr>
      <w:r>
        <w:rPr>
          <w:rFonts w:ascii="Times New Roman" w:cs="Times New Roman" w:eastAsia="Times New Roman" w:hAnsi="Times New Roman"/>
          <w:b/>
          <w:bCs/>
          <w:i w:val="false"/>
          <w:iCs w:val="false"/>
          <w:sz w:val="28"/>
          <w:szCs w:val="28"/>
        </w:rPr>
        <w:t xml:space="preserve">Disciplinary Procedures</w:t>
      </w:r>
    </w:p>
    <w:p>
      <w:pPr>
        <w:spacing w:after="200" w:line="360"/>
        <w:jc w:val="both"/>
      </w:pPr>
      <w:r>
        <w:rPr>
          <w:rFonts w:ascii="Times New Roman" w:cs="Times New Roman" w:eastAsia="Times New Roman" w:hAnsi="Times New Roman"/>
          <w:sz w:val="24"/>
          <w:szCs w:val="24"/>
        </w:rPr>
        <w:t xml:space="preserve">If an employee breaks the Code of Conduct, TCS follows a formal disciplinary process. This can include a warning, suspension, or even termination of employment, depending on how serious the violation is. Vendors who violate the Code may also be barred from future business with the company.</w:t>
      </w:r>
    </w:p>
    <w:p>
      <w:pPr>
        <w:spacing w:after="100" w:before="150"/>
      </w:pPr>
      <w:r>
        <w:rPr>
          <w:rFonts w:ascii="Times New Roman" w:cs="Times New Roman" w:eastAsia="Times New Roman" w:hAnsi="Times New Roman"/>
          <w:b/>
          <w:bCs/>
          <w:i w:val="false"/>
          <w:iCs w:val="false"/>
          <w:sz w:val="28"/>
          <w:szCs w:val="28"/>
        </w:rPr>
        <w:t xml:space="preserve">Rights and Responsibilities</w:t>
      </w:r>
    </w:p>
    <w:p>
      <w:pPr>
        <w:pStyle w:val="ListParagraph"/>
        <w:numPr>
          <w:ilvl w:val="0"/>
          <w:numId w:val="1"/>
        </w:numPr>
        <w:spacing w:after="100" w:line="360"/>
      </w:pPr>
      <w:r>
        <w:rPr>
          <w:rFonts w:ascii="Times New Roman" w:cs="Times New Roman" w:eastAsia="Times New Roman" w:hAnsi="Times New Roman"/>
          <w:sz w:val="24"/>
          <w:szCs w:val="24"/>
        </w:rPr>
        <w:t xml:space="preserve">Employees have the right to a safe, fair, and respectful workplace</w:t>
      </w:r>
    </w:p>
    <w:p>
      <w:pPr>
        <w:pStyle w:val="ListParagraph"/>
        <w:numPr>
          <w:ilvl w:val="0"/>
          <w:numId w:val="1"/>
        </w:numPr>
        <w:spacing w:after="100" w:line="360"/>
      </w:pPr>
      <w:r>
        <w:rPr>
          <w:rFonts w:ascii="Times New Roman" w:cs="Times New Roman" w:eastAsia="Times New Roman" w:hAnsi="Times New Roman"/>
          <w:sz w:val="24"/>
          <w:szCs w:val="24"/>
        </w:rPr>
        <w:t xml:space="preserve">Employees have the right to raise concerns without fear of punishment</w:t>
      </w:r>
    </w:p>
    <w:p>
      <w:pPr>
        <w:pStyle w:val="ListParagraph"/>
        <w:numPr>
          <w:ilvl w:val="0"/>
          <w:numId w:val="1"/>
        </w:numPr>
        <w:spacing w:after="100" w:line="360"/>
      </w:pPr>
      <w:r>
        <w:rPr>
          <w:rFonts w:ascii="Times New Roman" w:cs="Times New Roman" w:eastAsia="Times New Roman" w:hAnsi="Times New Roman"/>
          <w:sz w:val="24"/>
          <w:szCs w:val="24"/>
        </w:rPr>
        <w:t xml:space="preserve">Employees are responsible for following the law and company rules honestly</w:t>
      </w:r>
    </w:p>
    <w:p>
      <w:pPr>
        <w:pStyle w:val="ListParagraph"/>
        <w:numPr>
          <w:ilvl w:val="0"/>
          <w:numId w:val="1"/>
        </w:numPr>
        <w:spacing w:after="100" w:line="360"/>
      </w:pPr>
      <w:r>
        <w:rPr>
          <w:rFonts w:ascii="Times New Roman" w:cs="Times New Roman" w:eastAsia="Times New Roman" w:hAnsi="Times New Roman"/>
          <w:sz w:val="24"/>
          <w:szCs w:val="24"/>
        </w:rPr>
        <w:t xml:space="preserve">Managers are responsible for setting a good example and enforcing the Code fairly</w:t>
      </w:r>
    </w:p>
    <w:p>
      <w:pPr>
        <w:spacing w:after="150" w:before="300"/>
      </w:pPr>
      <w:r>
        <w:rPr>
          <w:rFonts w:ascii="Times New Roman" w:cs="Times New Roman" w:eastAsia="Times New Roman" w:hAnsi="Times New Roman"/>
          <w:b/>
          <w:bCs/>
          <w:sz w:val="28"/>
          <w:szCs w:val="28"/>
        </w:rPr>
        <w:t xml:space="preserve">4. Compliance and Governance Analysis</w:t>
      </w:r>
    </w:p>
    <w:p>
      <w:pPr>
        <w:spacing w:after="200" w:line="360"/>
        <w:jc w:val="both"/>
      </w:pPr>
      <w:r>
        <w:rPr>
          <w:rFonts w:ascii="Times New Roman" w:cs="Times New Roman" w:eastAsia="Times New Roman" w:hAnsi="Times New Roman"/>
          <w:sz w:val="24"/>
          <w:szCs w:val="24"/>
        </w:rPr>
        <w:t xml:space="preserve">The Employee Code of Conduct is closely linked to Indian laws and international standards. It supports compliance with labour laws, the Prevention of Sexual Harassment (POSH) Act, anti-bribery and anti-corruption regulations, and data protection requirements such as the Information Technology Act.</w:t>
      </w:r>
    </w:p>
    <w:p>
      <w:pPr>
        <w:spacing w:after="200" w:line="360"/>
        <w:jc w:val="both"/>
      </w:pPr>
      <w:r>
        <w:rPr>
          <w:rFonts w:ascii="Times New Roman" w:cs="Times New Roman" w:eastAsia="Times New Roman" w:hAnsi="Times New Roman"/>
          <w:sz w:val="24"/>
          <w:szCs w:val="24"/>
        </w:rPr>
        <w:t xml:space="preserve">Since TCS is a publicly listed company, the Code of Conduct also supports its obligations under the Companies Act and SEBI regulations, especially regarding corporate governance, insider trading rules, and fair dealing with shareholders.</w:t>
      </w:r>
    </w:p>
    <w:p>
      <w:pPr>
        <w:spacing w:after="100" w:before="150"/>
      </w:pPr>
      <w:r>
        <w:rPr>
          <w:rFonts w:ascii="Times New Roman" w:cs="Times New Roman" w:eastAsia="Times New Roman" w:hAnsi="Times New Roman"/>
          <w:b/>
          <w:bCs/>
          <w:i w:val="false"/>
          <w:iCs w:val="false"/>
          <w:sz w:val="28"/>
          <w:szCs w:val="28"/>
        </w:rPr>
        <w:t xml:space="preserve">Governance Mechanisms</w:t>
      </w:r>
    </w:p>
    <w:p>
      <w:pPr>
        <w:pStyle w:val="ListParagraph"/>
        <w:numPr>
          <w:ilvl w:val="0"/>
          <w:numId w:val="1"/>
        </w:numPr>
        <w:spacing w:after="100" w:line="360"/>
      </w:pPr>
      <w:r>
        <w:rPr>
          <w:rFonts w:ascii="Times New Roman" w:cs="Times New Roman" w:eastAsia="Times New Roman" w:hAnsi="Times New Roman"/>
          <w:sz w:val="24"/>
          <w:szCs w:val="24"/>
        </w:rPr>
        <w:t xml:space="preserve">Every employee signs and acknowledges the Code of Conduct on joining the company</w:t>
      </w:r>
    </w:p>
    <w:p>
      <w:pPr>
        <w:pStyle w:val="ListParagraph"/>
        <w:numPr>
          <w:ilvl w:val="0"/>
          <w:numId w:val="1"/>
        </w:numPr>
        <w:spacing w:after="100" w:line="360"/>
      </w:pPr>
      <w:r>
        <w:rPr>
          <w:rFonts w:ascii="Times New Roman" w:cs="Times New Roman" w:eastAsia="Times New Roman" w:hAnsi="Times New Roman"/>
          <w:sz w:val="24"/>
          <w:szCs w:val="24"/>
        </w:rPr>
        <w:t xml:space="preserve">An Ethics Counsellor structure, including Local and Principal Ethics Counselors, handles violations</w:t>
      </w:r>
    </w:p>
    <w:p>
      <w:pPr>
        <w:pStyle w:val="ListParagraph"/>
        <w:numPr>
          <w:ilvl w:val="0"/>
          <w:numId w:val="1"/>
        </w:numPr>
        <w:spacing w:after="100" w:line="360"/>
      </w:pPr>
      <w:r>
        <w:rPr>
          <w:rFonts w:ascii="Times New Roman" w:cs="Times New Roman" w:eastAsia="Times New Roman" w:hAnsi="Times New Roman"/>
          <w:sz w:val="24"/>
          <w:szCs w:val="24"/>
        </w:rPr>
        <w:t xml:space="preserve">Employees must take annual refresher training on the Code of Conduct and business ethics</w:t>
      </w:r>
    </w:p>
    <w:p>
      <w:pPr>
        <w:pStyle w:val="ListParagraph"/>
        <w:numPr>
          <w:ilvl w:val="0"/>
          <w:numId w:val="1"/>
        </w:numPr>
        <w:spacing w:after="100" w:line="360"/>
      </w:pPr>
      <w:r>
        <w:rPr>
          <w:rFonts w:ascii="Times New Roman" w:cs="Times New Roman" w:eastAsia="Times New Roman" w:hAnsi="Times New Roman"/>
          <w:sz w:val="24"/>
          <w:szCs w:val="24"/>
        </w:rPr>
        <w:t xml:space="preserve">Whistle-blower channels allow employees to report violations confidentially</w:t>
      </w:r>
    </w:p>
    <w:p>
      <w:pPr>
        <w:pStyle w:val="ListParagraph"/>
        <w:numPr>
          <w:ilvl w:val="0"/>
          <w:numId w:val="1"/>
        </w:numPr>
        <w:spacing w:after="100" w:line="360"/>
      </w:pPr>
      <w:r>
        <w:rPr>
          <w:rFonts w:ascii="Times New Roman" w:cs="Times New Roman" w:eastAsia="Times New Roman" w:hAnsi="Times New Roman"/>
          <w:sz w:val="24"/>
          <w:szCs w:val="24"/>
        </w:rPr>
        <w:t xml:space="preserve">The Board and senior management review compliance reports regularly</w:t>
      </w:r>
    </w:p>
    <w:p>
      <w:pPr>
        <w:spacing w:after="200" w:line="360"/>
        <w:jc w:val="both"/>
      </w:pPr>
      <w:r>
        <w:rPr>
          <w:rFonts w:ascii="Times New Roman" w:cs="Times New Roman" w:eastAsia="Times New Roman" w:hAnsi="Times New Roman"/>
          <w:sz w:val="24"/>
          <w:szCs w:val="24"/>
        </w:rPr>
        <w:t xml:space="preserve">These mechanisms show that TCS does not treat the Code of Conduct as a one-time formality. It is built into daily operations through training, monitoring, and a clear reporting structure, which strengthens both legal compliance and internal governance.</w:t>
      </w:r>
    </w:p>
    <w:p>
      <w:pPr>
        <w:spacing w:after="150" w:before="300"/>
      </w:pPr>
      <w:r>
        <w:rPr>
          <w:rFonts w:ascii="Times New Roman" w:cs="Times New Roman" w:eastAsia="Times New Roman" w:hAnsi="Times New Roman"/>
          <w:b/>
          <w:bCs/>
          <w:sz w:val="28"/>
          <w:szCs w:val="28"/>
        </w:rPr>
        <w:t xml:space="preserve">5. Policy Evaluation</w:t>
      </w:r>
    </w:p>
    <w:p>
      <w:pPr>
        <w:spacing w:after="100" w:before="150"/>
      </w:pPr>
      <w:r>
        <w:rPr>
          <w:rFonts w:ascii="Times New Roman" w:cs="Times New Roman" w:eastAsia="Times New Roman" w:hAnsi="Times New Roman"/>
          <w:b/>
          <w:bCs/>
          <w:i w:val="false"/>
          <w:iCs w:val="false"/>
          <w:sz w:val="28"/>
          <w:szCs w:val="28"/>
        </w:rPr>
        <w:t xml:space="preserve">Strengths</w:t>
      </w:r>
    </w:p>
    <w:p>
      <w:pPr>
        <w:pStyle w:val="ListParagraph"/>
        <w:numPr>
          <w:ilvl w:val="0"/>
          <w:numId w:val="1"/>
        </w:numPr>
        <w:spacing w:after="100" w:line="360"/>
      </w:pPr>
      <w:r>
        <w:rPr>
          <w:rFonts w:ascii="Times New Roman" w:cs="Times New Roman" w:eastAsia="Times New Roman" w:hAnsi="Times New Roman"/>
          <w:sz w:val="24"/>
          <w:szCs w:val="24"/>
        </w:rPr>
        <w:t xml:space="preserve">Applies uniformly to all employees across the world, avoiding confusion</w:t>
      </w:r>
    </w:p>
    <w:p>
      <w:pPr>
        <w:pStyle w:val="ListParagraph"/>
        <w:numPr>
          <w:ilvl w:val="0"/>
          <w:numId w:val="1"/>
        </w:numPr>
        <w:spacing w:after="100" w:line="360"/>
      </w:pPr>
      <w:r>
        <w:rPr>
          <w:rFonts w:ascii="Times New Roman" w:cs="Times New Roman" w:eastAsia="Times New Roman" w:hAnsi="Times New Roman"/>
          <w:sz w:val="24"/>
          <w:szCs w:val="24"/>
        </w:rPr>
        <w:t xml:space="preserve">Backed by real enforcement action, as seen when TCS dismissed employees involved in a recruitment bribery case in 2023</w:t>
      </w:r>
    </w:p>
    <w:p>
      <w:pPr>
        <w:pStyle w:val="ListParagraph"/>
        <w:numPr>
          <w:ilvl w:val="0"/>
          <w:numId w:val="1"/>
        </w:numPr>
        <w:spacing w:after="100" w:line="360"/>
      </w:pPr>
      <w:r>
        <w:rPr>
          <w:rFonts w:ascii="Times New Roman" w:cs="Times New Roman" w:eastAsia="Times New Roman" w:hAnsi="Times New Roman"/>
          <w:sz w:val="24"/>
          <w:szCs w:val="24"/>
        </w:rPr>
        <w:t xml:space="preserve">Supported by regular training, making awareness high among employees</w:t>
      </w:r>
    </w:p>
    <w:p>
      <w:pPr>
        <w:pStyle w:val="ListParagraph"/>
        <w:numPr>
          <w:ilvl w:val="0"/>
          <w:numId w:val="1"/>
        </w:numPr>
        <w:spacing w:after="100" w:line="360"/>
      </w:pPr>
      <w:r>
        <w:rPr>
          <w:rFonts w:ascii="Times New Roman" w:cs="Times New Roman" w:eastAsia="Times New Roman" w:hAnsi="Times New Roman"/>
          <w:sz w:val="24"/>
          <w:szCs w:val="24"/>
        </w:rPr>
        <w:t xml:space="preserve">Clear channels for reporting violations protect employees who speak up</w:t>
      </w:r>
    </w:p>
    <w:p>
      <w:pPr>
        <w:spacing w:after="100" w:before="150"/>
      </w:pPr>
      <w:r>
        <w:rPr>
          <w:rFonts w:ascii="Times New Roman" w:cs="Times New Roman" w:eastAsia="Times New Roman" w:hAnsi="Times New Roman"/>
          <w:b/>
          <w:bCs/>
          <w:i w:val="false"/>
          <w:iCs w:val="false"/>
          <w:sz w:val="28"/>
          <w:szCs w:val="28"/>
        </w:rPr>
        <w:t xml:space="preserve">Effectiveness and Practicality</w:t>
      </w:r>
    </w:p>
    <w:p>
      <w:pPr>
        <w:spacing w:after="200" w:line="360"/>
        <w:jc w:val="both"/>
      </w:pPr>
      <w:r>
        <w:rPr>
          <w:rFonts w:ascii="Times New Roman" w:cs="Times New Roman" w:eastAsia="Times New Roman" w:hAnsi="Times New Roman"/>
          <w:sz w:val="24"/>
          <w:szCs w:val="24"/>
        </w:rPr>
        <w:t xml:space="preserve">The policy appears effective in practice. TCS's action against employees and vendors involved in a cash-for-jobs scandal shows that the company is willing to enforce the Code even when it involves a large number of staff. This builds confidence that the policy is not just words on paper.</w:t>
      </w:r>
    </w:p>
    <w:p>
      <w:pPr>
        <w:spacing w:after="100" w:before="150"/>
      </w:pPr>
      <w:r>
        <w:rPr>
          <w:rFonts w:ascii="Times New Roman" w:cs="Times New Roman" w:eastAsia="Times New Roman" w:hAnsi="Times New Roman"/>
          <w:b/>
          <w:bCs/>
          <w:i w:val="false"/>
          <w:iCs w:val="false"/>
          <w:sz w:val="28"/>
          <w:szCs w:val="28"/>
        </w:rPr>
        <w:t xml:space="preserve">Gaps and Limitations</w:t>
      </w:r>
    </w:p>
    <w:p>
      <w:pPr>
        <w:pStyle w:val="ListParagraph"/>
        <w:numPr>
          <w:ilvl w:val="0"/>
          <w:numId w:val="1"/>
        </w:numPr>
        <w:spacing w:after="100" w:line="360"/>
      </w:pPr>
      <w:r>
        <w:rPr>
          <w:rFonts w:ascii="Times New Roman" w:cs="Times New Roman" w:eastAsia="Times New Roman" w:hAnsi="Times New Roman"/>
          <w:sz w:val="24"/>
          <w:szCs w:val="24"/>
        </w:rPr>
        <w:t xml:space="preserve">A very large workforce makes it difficult to monitor every individual case closely</w:t>
      </w:r>
    </w:p>
    <w:p>
      <w:pPr>
        <w:pStyle w:val="ListParagraph"/>
        <w:numPr>
          <w:ilvl w:val="0"/>
          <w:numId w:val="1"/>
        </w:numPr>
        <w:spacing w:after="100" w:line="360"/>
      </w:pPr>
      <w:r>
        <w:rPr>
          <w:rFonts w:ascii="Times New Roman" w:cs="Times New Roman" w:eastAsia="Times New Roman" w:hAnsi="Times New Roman"/>
          <w:sz w:val="24"/>
          <w:szCs w:val="24"/>
        </w:rPr>
        <w:t xml:space="preserve">Employees in different countries may interpret certain rules differently due to cultural differences</w:t>
      </w:r>
    </w:p>
    <w:p>
      <w:pPr>
        <w:pStyle w:val="ListParagraph"/>
        <w:numPr>
          <w:ilvl w:val="0"/>
          <w:numId w:val="1"/>
        </w:numPr>
        <w:spacing w:after="100" w:line="360"/>
      </w:pPr>
      <w:r>
        <w:rPr>
          <w:rFonts w:ascii="Times New Roman" w:cs="Times New Roman" w:eastAsia="Times New Roman" w:hAnsi="Times New Roman"/>
          <w:sz w:val="24"/>
          <w:szCs w:val="24"/>
        </w:rPr>
        <w:t xml:space="preserve">Reporting a senior colleague can still feel risky for junior employees despite confidentiality promises</w:t>
      </w:r>
    </w:p>
    <w:p>
      <w:pPr>
        <w:spacing w:after="100" w:before="150"/>
      </w:pPr>
      <w:r>
        <w:rPr>
          <w:rFonts w:ascii="Times New Roman" w:cs="Times New Roman" w:eastAsia="Times New Roman" w:hAnsi="Times New Roman"/>
          <w:b/>
          <w:bCs/>
          <w:i w:val="false"/>
          <w:iCs w:val="false"/>
          <w:sz w:val="28"/>
          <w:szCs w:val="28"/>
        </w:rPr>
        <w:t xml:space="preserve">Comparison with Good Corporate Practice</w:t>
      </w:r>
    </w:p>
    <w:p>
      <w:pPr>
        <w:spacing w:after="200" w:line="360"/>
        <w:jc w:val="both"/>
      </w:pPr>
      <w:r>
        <w:rPr>
          <w:rFonts w:ascii="Times New Roman" w:cs="Times New Roman" w:eastAsia="Times New Roman" w:hAnsi="Times New Roman"/>
          <w:sz w:val="24"/>
          <w:szCs w:val="24"/>
        </w:rPr>
        <w:t xml:space="preserve">Compared to common industry practice, TCS's Code of Conduct is fairly strong. Many companies have written codes but do not always enforce them publicly. TCS stands out because it discloses enforcement actions to stock exchanges, which is a good governance practice and builds public trust.</w:t>
      </w:r>
    </w:p>
    <w:p>
      <w:pPr>
        <w:spacing w:after="150" w:before="300"/>
      </w:pPr>
      <w:r>
        <w:rPr>
          <w:rFonts w:ascii="Times New Roman" w:cs="Times New Roman" w:eastAsia="Times New Roman" w:hAnsi="Times New Roman"/>
          <w:b/>
          <w:bCs/>
          <w:sz w:val="28"/>
          <w:szCs w:val="28"/>
        </w:rPr>
        <w:t xml:space="preserve">6. Business Relevance</w:t>
      </w:r>
    </w:p>
    <w:p>
      <w:pPr>
        <w:spacing w:after="200" w:line="360"/>
        <w:jc w:val="both"/>
      </w:pPr>
      <w:r>
        <w:rPr>
          <w:rFonts w:ascii="Times New Roman" w:cs="Times New Roman" w:eastAsia="Times New Roman" w:hAnsi="Times New Roman"/>
          <w:sz w:val="24"/>
          <w:szCs w:val="24"/>
        </w:rPr>
        <w:t xml:space="preserve">In today's business world, an Employee Code of Conduct is not optional; it is essential. Clients trust TCS with confidential data and important projects, and this trust depends heavily on employees behaving ethically.</w:t>
      </w:r>
    </w:p>
    <w:p>
      <w:pPr>
        <w:spacing w:after="100" w:before="150"/>
      </w:pPr>
      <w:r>
        <w:rPr>
          <w:rFonts w:ascii="Times New Roman" w:cs="Times New Roman" w:eastAsia="Times New Roman" w:hAnsi="Times New Roman"/>
          <w:b/>
          <w:bCs/>
          <w:i w:val="false"/>
          <w:iCs w:val="false"/>
          <w:sz w:val="28"/>
          <w:szCs w:val="28"/>
        </w:rPr>
        <w:t xml:space="preserve">Impact on Stakeholders</w:t>
      </w:r>
    </w:p>
    <w:p>
      <w:pPr>
        <w:pStyle w:val="ListParagraph"/>
        <w:numPr>
          <w:ilvl w:val="0"/>
          <w:numId w:val="1"/>
        </w:numPr>
        <w:spacing w:after="100" w:line="360"/>
      </w:pPr>
      <w:r>
        <w:rPr>
          <w:rFonts w:ascii="Times New Roman" w:cs="Times New Roman" w:eastAsia="Times New Roman" w:hAnsi="Times New Roman"/>
          <w:sz w:val="24"/>
          <w:szCs w:val="24"/>
        </w:rPr>
        <w:t xml:space="preserve">Employees benefit from a safer and fairer workplace</w:t>
      </w:r>
    </w:p>
    <w:p>
      <w:pPr>
        <w:pStyle w:val="ListParagraph"/>
        <w:numPr>
          <w:ilvl w:val="0"/>
          <w:numId w:val="1"/>
        </w:numPr>
        <w:spacing w:after="100" w:line="360"/>
      </w:pPr>
      <w:r>
        <w:rPr>
          <w:rFonts w:ascii="Times New Roman" w:cs="Times New Roman" w:eastAsia="Times New Roman" w:hAnsi="Times New Roman"/>
          <w:sz w:val="24"/>
          <w:szCs w:val="24"/>
        </w:rPr>
        <w:t xml:space="preserve">Clients gain confidence that their data and business will be handled responsibly</w:t>
      </w:r>
    </w:p>
    <w:p>
      <w:pPr>
        <w:pStyle w:val="ListParagraph"/>
        <w:numPr>
          <w:ilvl w:val="0"/>
          <w:numId w:val="1"/>
        </w:numPr>
        <w:spacing w:after="100" w:line="360"/>
      </w:pPr>
      <w:r>
        <w:rPr>
          <w:rFonts w:ascii="Times New Roman" w:cs="Times New Roman" w:eastAsia="Times New Roman" w:hAnsi="Times New Roman"/>
          <w:sz w:val="24"/>
          <w:szCs w:val="24"/>
        </w:rPr>
        <w:t xml:space="preserve">Shareholders benefit from reduced legal and reputational risk</w:t>
      </w:r>
    </w:p>
    <w:p>
      <w:pPr>
        <w:pStyle w:val="ListParagraph"/>
        <w:numPr>
          <w:ilvl w:val="0"/>
          <w:numId w:val="1"/>
        </w:numPr>
        <w:spacing w:after="100" w:line="360"/>
      </w:pPr>
      <w:r>
        <w:rPr>
          <w:rFonts w:ascii="Times New Roman" w:cs="Times New Roman" w:eastAsia="Times New Roman" w:hAnsi="Times New Roman"/>
          <w:sz w:val="24"/>
          <w:szCs w:val="24"/>
        </w:rPr>
        <w:t xml:space="preserve">Society benefits when a large employer promotes fair and ethical practices</w:t>
      </w:r>
    </w:p>
    <w:p>
      <w:pPr>
        <w:spacing w:after="100" w:before="150"/>
      </w:pPr>
      <w:r>
        <w:rPr>
          <w:rFonts w:ascii="Times New Roman" w:cs="Times New Roman" w:eastAsia="Times New Roman" w:hAnsi="Times New Roman"/>
          <w:b/>
          <w:bCs/>
          <w:i w:val="false"/>
          <w:iCs w:val="false"/>
          <w:sz w:val="28"/>
          <w:szCs w:val="28"/>
        </w:rPr>
        <w:t xml:space="preserve">Contribution to Risk Management and Governance</w:t>
      </w:r>
    </w:p>
    <w:p>
      <w:pPr>
        <w:spacing w:after="200" w:line="360"/>
        <w:jc w:val="both"/>
      </w:pPr>
      <w:r>
        <w:rPr>
          <w:rFonts w:ascii="Times New Roman" w:cs="Times New Roman" w:eastAsia="Times New Roman" w:hAnsi="Times New Roman"/>
          <w:sz w:val="24"/>
          <w:szCs w:val="24"/>
        </w:rPr>
        <w:t xml:space="preserve">The Code of Conduct reduces the risk of fraud, corruption, and legal trouble. It also strengthens corporate governance by clearly defining acceptable behaviour and consequences for violations. This helps TCS maintain its reputation as a reliable global business partner.</w:t>
      </w:r>
    </w:p>
    <w:p>
      <w:pPr>
        <w:spacing w:after="150" w:before="300"/>
      </w:pPr>
      <w:r>
        <w:rPr>
          <w:rFonts w:ascii="Times New Roman" w:cs="Times New Roman" w:eastAsia="Times New Roman" w:hAnsi="Times New Roman"/>
          <w:b/>
          <w:bCs/>
          <w:sz w:val="28"/>
          <w:szCs w:val="28"/>
        </w:rPr>
        <w:t xml:space="preserve">7. Recommendations</w:t>
      </w:r>
    </w:p>
    <w:p>
      <w:pPr>
        <w:pStyle w:val="ListParagraph"/>
        <w:numPr>
          <w:ilvl w:val="0"/>
          <w:numId w:val="1"/>
        </w:numPr>
        <w:spacing w:after="100" w:line="360"/>
      </w:pPr>
      <w:r>
        <w:rPr>
          <w:rFonts w:ascii="Times New Roman" w:cs="Times New Roman" w:eastAsia="Times New Roman" w:hAnsi="Times New Roman"/>
          <w:sz w:val="24"/>
          <w:szCs w:val="24"/>
        </w:rPr>
        <w:t xml:space="preserve">Simplify the language of the Code of Conduct further so that it is equally easy to understand for employees at every level and location</w:t>
      </w:r>
    </w:p>
    <w:p>
      <w:pPr>
        <w:pStyle w:val="ListParagraph"/>
        <w:numPr>
          <w:ilvl w:val="0"/>
          <w:numId w:val="1"/>
        </w:numPr>
        <w:spacing w:after="100" w:line="360"/>
      </w:pPr>
      <w:r>
        <w:rPr>
          <w:rFonts w:ascii="Times New Roman" w:cs="Times New Roman" w:eastAsia="Times New Roman" w:hAnsi="Times New Roman"/>
          <w:sz w:val="24"/>
          <w:szCs w:val="24"/>
        </w:rPr>
        <w:t xml:space="preserve">Increase the frequency of anonymous employee surveys to check if staff genuinely feel safe reporting violations</w:t>
      </w:r>
    </w:p>
    <w:p>
      <w:pPr>
        <w:pStyle w:val="ListParagraph"/>
        <w:numPr>
          <w:ilvl w:val="0"/>
          <w:numId w:val="1"/>
        </w:numPr>
        <w:spacing w:after="100" w:line="360"/>
      </w:pPr>
      <w:r>
        <w:rPr>
          <w:rFonts w:ascii="Times New Roman" w:cs="Times New Roman" w:eastAsia="Times New Roman" w:hAnsi="Times New Roman"/>
          <w:sz w:val="24"/>
          <w:szCs w:val="24"/>
        </w:rPr>
        <w:t xml:space="preserve">Strengthen protection for whistle-blowers reporting against senior employees, with independent review of such cases</w:t>
      </w:r>
    </w:p>
    <w:p>
      <w:pPr>
        <w:pStyle w:val="ListParagraph"/>
        <w:numPr>
          <w:ilvl w:val="0"/>
          <w:numId w:val="1"/>
        </w:numPr>
        <w:spacing w:after="100" w:line="360"/>
      </w:pPr>
      <w:r>
        <w:rPr>
          <w:rFonts w:ascii="Times New Roman" w:cs="Times New Roman" w:eastAsia="Times New Roman" w:hAnsi="Times New Roman"/>
          <w:sz w:val="24"/>
          <w:szCs w:val="24"/>
        </w:rPr>
        <w:t xml:space="preserve">Use technology, such as an AI-based monitoring tool, to detect unusual patterns that may indicate policy violations</w:t>
      </w:r>
    </w:p>
    <w:p>
      <w:pPr>
        <w:pStyle w:val="ListParagraph"/>
        <w:numPr>
          <w:ilvl w:val="0"/>
          <w:numId w:val="1"/>
        </w:numPr>
        <w:spacing w:after="100" w:line="360"/>
      </w:pPr>
      <w:r>
        <w:rPr>
          <w:rFonts w:ascii="Times New Roman" w:cs="Times New Roman" w:eastAsia="Times New Roman" w:hAnsi="Times New Roman"/>
          <w:sz w:val="24"/>
          <w:szCs w:val="24"/>
        </w:rPr>
        <w:t xml:space="preserve">Continue publishing enforcement actions transparently, as this builds trust with employees and investors</w:t>
      </w:r>
    </w:p>
    <w:p>
      <w:pPr>
        <w:spacing w:after="150" w:before="300"/>
      </w:pPr>
      <w:r>
        <w:rPr>
          <w:rFonts w:ascii="Times New Roman" w:cs="Times New Roman" w:eastAsia="Times New Roman" w:hAnsi="Times New Roman"/>
          <w:b/>
          <w:bCs/>
          <w:sz w:val="28"/>
          <w:szCs w:val="28"/>
        </w:rPr>
        <w:t xml:space="preserve">8. Conclusion</w:t>
      </w:r>
    </w:p>
    <w:p>
      <w:pPr>
        <w:spacing w:after="200" w:line="360"/>
        <w:jc w:val="both"/>
      </w:pPr>
      <w:r>
        <w:rPr>
          <w:rFonts w:ascii="Times New Roman" w:cs="Times New Roman" w:eastAsia="Times New Roman" w:hAnsi="Times New Roman"/>
          <w:sz w:val="24"/>
          <w:szCs w:val="24"/>
        </w:rPr>
        <w:t xml:space="preserve">The Employee Code of Conduct at TCS, known as the Tata Code of Conduct, is a well-structured and seriously enforced policy. It sets clear expectations for behaviour, supports legal compliance, and protects the interests of employees, clients, and shareholders.</w:t>
      </w:r>
    </w:p>
    <w:p>
      <w:pPr>
        <w:spacing w:after="200" w:line="360"/>
        <w:jc w:val="both"/>
      </w:pPr>
      <w:r>
        <w:rPr>
          <w:rFonts w:ascii="Times New Roman" w:cs="Times New Roman" w:eastAsia="Times New Roman" w:hAnsi="Times New Roman"/>
          <w:sz w:val="24"/>
          <w:szCs w:val="24"/>
        </w:rPr>
        <w:t xml:space="preserve">From this review, it is clear that a good code of conduct is only useful when it is actively enforced and regularly communicated, not just written and stored away. TCS's willingness to take firm action against violations, even at the cost of short-term embarrassment, shows genuine commitment to ethical business.</w:t>
      </w:r>
    </w:p>
    <w:p>
      <w:pPr>
        <w:spacing w:after="200" w:line="360"/>
        <w:jc w:val="both"/>
      </w:pPr>
      <w:r>
        <w:rPr>
          <w:rFonts w:ascii="Times New Roman" w:cs="Times New Roman" w:eastAsia="Times New Roman" w:hAnsi="Times New Roman"/>
          <w:sz w:val="24"/>
          <w:szCs w:val="24"/>
        </w:rPr>
        <w:t xml:space="preserve">Overall, this review highlights that a strong Employee Code of Conduct is essential for any large organisation. It protects people, builds trust, and supports long-term business success.</w:t>
      </w:r>
    </w:p>
    <w:p>
      <w:pPr>
        <w:spacing w:after="150" w:before="300"/>
      </w:pPr>
      <w:r>
        <w:rPr>
          <w:rFonts w:ascii="Times New Roman" w:cs="Times New Roman" w:eastAsia="Times New Roman" w:hAnsi="Times New Roman"/>
          <w:b/>
          <w:bCs/>
          <w:sz w:val="28"/>
          <w:szCs w:val="28"/>
        </w:rPr>
        <w:t xml:space="preserve">9. References</w:t>
      </w:r>
    </w:p>
    <w:p>
      <w:pPr>
        <w:pStyle w:val="ListParagraph"/>
        <w:numPr>
          <w:ilvl w:val="0"/>
          <w:numId w:val="1"/>
        </w:numPr>
        <w:spacing w:after="100" w:line="360"/>
      </w:pPr>
      <w:r>
        <w:rPr>
          <w:rFonts w:ascii="Times New Roman" w:cs="Times New Roman" w:eastAsia="Times New Roman" w:hAnsi="Times New Roman"/>
          <w:sz w:val="24"/>
          <w:szCs w:val="24"/>
        </w:rPr>
        <w:t xml:space="preserve">Tata Consultancy Services. Tata Code of Conduct. Available at: https://www.tcs.com/who-we-are/governance/tata-code-of-conduct</w:t>
      </w:r>
    </w:p>
    <w:p>
      <w:pPr>
        <w:pStyle w:val="ListParagraph"/>
        <w:numPr>
          <w:ilvl w:val="0"/>
          <w:numId w:val="1"/>
        </w:numPr>
        <w:spacing w:after="100" w:line="360"/>
      </w:pPr>
      <w:r>
        <w:rPr>
          <w:rFonts w:ascii="Times New Roman" w:cs="Times New Roman" w:eastAsia="Times New Roman" w:hAnsi="Times New Roman"/>
          <w:sz w:val="24"/>
          <w:szCs w:val="24"/>
        </w:rPr>
        <w:t xml:space="preserve">Tata Consultancy Services Norway. Transparency Act Statement, 2026.</w:t>
      </w:r>
    </w:p>
    <w:p>
      <w:pPr>
        <w:pStyle w:val="ListParagraph"/>
        <w:numPr>
          <w:ilvl w:val="0"/>
          <w:numId w:val="1"/>
        </w:numPr>
        <w:spacing w:after="100" w:line="360"/>
      </w:pPr>
      <w:r>
        <w:rPr>
          <w:rFonts w:ascii="Times New Roman" w:cs="Times New Roman" w:eastAsia="Times New Roman" w:hAnsi="Times New Roman"/>
          <w:sz w:val="24"/>
          <w:szCs w:val="24"/>
        </w:rPr>
        <w:t xml:space="preserve">Rainmaker. "TCS Breach of CoC: Highlighting the Importance of Ethical Conduct," July 2023.</w:t>
      </w:r>
    </w:p>
    <w:p>
      <w:pPr>
        <w:pStyle w:val="ListParagraph"/>
        <w:numPr>
          <w:ilvl w:val="0"/>
          <w:numId w:val="1"/>
        </w:numPr>
        <w:spacing w:after="100" w:line="360"/>
      </w:pPr>
      <w:r>
        <w:rPr>
          <w:rFonts w:ascii="Times New Roman" w:cs="Times New Roman" w:eastAsia="Times New Roman" w:hAnsi="Times New Roman"/>
          <w:sz w:val="24"/>
          <w:szCs w:val="24"/>
        </w:rPr>
        <w:t xml:space="preserve">India CSR. "TCS Takes Tough Stance Against Bribery in the Recruitment Process," October 2023.</w:t>
      </w:r>
    </w:p>
    <w:p>
      <w:pPr>
        <w:pStyle w:val="ListParagraph"/>
        <w:numPr>
          <w:ilvl w:val="0"/>
          <w:numId w:val="1"/>
        </w:numPr>
        <w:spacing w:after="100" w:line="360"/>
      </w:pPr>
      <w:r>
        <w:rPr>
          <w:rFonts w:ascii="Times New Roman" w:cs="Times New Roman" w:eastAsia="Times New Roman" w:hAnsi="Times New Roman"/>
          <w:sz w:val="24"/>
          <w:szCs w:val="24"/>
        </w:rPr>
        <w:t xml:space="preserve">Companies Act, 2013 and SEBI (Listing Obligations and Disclosure Requirements) Regulations.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2026-09-25T08:28:02.986Z</dcterms:created>
  <dcterms:modified xsi:type="dcterms:W3CDTF">2026-09-25T08:28:02.995Z</dcterms:modified>
</cp:coreProperties>
</file>

<file path=docProps/custom.xml><?xml version="1.0" encoding="utf-8"?>
<Properties xmlns="http://schemas.openxmlformats.org/officeDocument/2006/custom-properties" xmlns:vt="http://schemas.openxmlformats.org/officeDocument/2006/docPropsVTypes"/>
</file>